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4.png" ContentType="image/png"/>
  <Override PartName="/word/media/rId71.png" ContentType="image/png"/>
  <Override PartName="/word/media/rId56.png" ContentType="image/png"/>
  <Override PartName="/word/media/rId44.png" ContentType="image/png"/>
  <Override PartName="/word/media/rId3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framework,</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factor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r>
                      <m:rPr>
                        <m:sty m:val="p"/>
                      </m:rPr>
                      <m:t>{</m:t>
                    </m:r>
                    <m:r>
                      <m:t>ξ</m:t>
                    </m:r>
                    <m:r>
                      <m:rPr>
                        <m:sty m:val="p"/>
                      </m:rPr>
                      <m:t>∥</m:t>
                    </m:r>
                    <m:r>
                      <m:t>β</m:t>
                    </m:r>
                    <m:sSub>
                      <m:e>
                        <m:r>
                          <m:rPr>
                            <m:sty m:val="p"/>
                          </m:rPr>
                          <m:t>∥</m:t>
                        </m:r>
                      </m:e>
                      <m:sub>
                        <m:r>
                          <m:t>1</m:t>
                        </m:r>
                      </m:sub>
                    </m:sSub>
                    <m:r>
                      <m:rPr>
                        <m:sty m:val="p"/>
                      </m:rPr>
                      <m:t>+</m:t>
                    </m:r>
                    <m:f>
                      <m:fPr>
                        <m:type m:val="lin"/>
                      </m:fPr>
                      <m:num>
                        <m:r>
                          <m:t>1</m:t>
                        </m:r>
                        <m:r>
                          <m:rPr>
                            <m:sty m:val="p"/>
                          </m:rPr>
                          <m:t>−</m:t>
                        </m:r>
                        <m:r>
                          <m:t>ξ</m:t>
                        </m:r>
                      </m:num>
                      <m:den>
                        <m:r>
                          <m:t>2</m:t>
                        </m:r>
                      </m:den>
                    </m:f>
                    <m:r>
                      <m:rPr>
                        <m:sty m:val="p"/>
                      </m:rPr>
                      <m:t>∥</m:t>
                    </m:r>
                    <m:r>
                      <m:t>β</m:t>
                    </m:r>
                    <m:sSubSup>
                      <m:e>
                        <m:r>
                          <m:rPr>
                            <m:sty m:val="p"/>
                          </m:rPr>
                          <m:t>∥</m:t>
                        </m:r>
                      </m:e>
                      <m:sub>
                        <m:r>
                          <m:t>2</m:t>
                        </m:r>
                      </m:sub>
                      <m:sup>
                        <m:r>
                          <m:t>2</m:t>
                        </m:r>
                      </m:sup>
                    </m:sSubSup>
                    <m:r>
                      <m:rPr>
                        <m:sty m:val="p"/>
                      </m:rPr>
                      <m:t>}</m:t>
                    </m:r>
                  </m:e>
                </m:d>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 and</w:t>
      </w:r>
      <w:r>
        <w:t xml:space="preserve"> </w:t>
      </w:r>
      <m:oMath>
        <m:r>
          <m:t>β</m:t>
        </m:r>
        <m:r>
          <m:rPr>
            <m:sty m:val="p"/>
          </m:rPr>
          <m:t>∈</m:t>
        </m:r>
        <m:sSup>
          <m:e>
            <m:r>
              <m:rPr>
                <m:sty m:val="p"/>
                <m:scr m:val="double-struck"/>
              </m:rPr>
              <m:t>R</m:t>
            </m:r>
          </m:e>
          <m:sup>
            <m:r>
              <m:t>k</m:t>
            </m:r>
          </m:sup>
        </m:sSup>
      </m:oMath>
      <w:r>
        <w:t xml:space="preserve"> </w:t>
      </w:r>
      <w:r>
        <w:t xml:space="preserve">are the Cox coefficients.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the</w:t>
      </w:r>
      <w:r>
        <w:t xml:space="preserve"> </w:t>
      </w:r>
      <w:r>
        <w:rPr>
          <w:rStyle w:val="VerbatimChar"/>
        </w:rPr>
        <w:t xml:space="preserve">glmnet</w:t>
      </w:r>
      <w:r>
        <w:t xml:space="preserve"> </w:t>
      </w:r>
      <w:r>
        <w:t xml:space="preserve">Coxnet routine used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r>
          <m:t>2</m:t>
        </m:r>
        <m:r>
          <m:rPr>
            <m:sty m:val="p"/>
          </m:rPr>
          <m:t>/</m:t>
        </m:r>
        <m:sSub>
          <m:e>
            <m:r>
              <m:t>n</m:t>
            </m:r>
          </m:e>
          <m:sub>
            <m:r>
              <m:rPr>
                <m:nor/>
                <m:sty m:val="p"/>
              </m:rPr>
              <m:t>event</m:t>
            </m:r>
          </m:sub>
        </m:sSub>
      </m:oMath>
      <w:r>
        <w:t xml:space="preserve">, and</w:t>
      </w:r>
      <w:r>
        <w:t xml:space="preserve"> </w:t>
      </w:r>
      <m:oMath>
        <m:r>
          <m:t>1</m:t>
        </m:r>
        <m:r>
          <m:rPr>
            <m:sty m:val="p"/>
          </m:rPr>
          <m:t>/</m:t>
        </m:r>
        <m:d>
          <m:dPr>
            <m:begChr m:val="("/>
            <m:endChr m:val=")"/>
            <m:sepChr m:val=""/>
            <m:grow/>
          </m:dPr>
          <m:e>
            <m:r>
              <m:t>2</m:t>
            </m:r>
            <m:r>
              <m:t>n</m:t>
            </m:r>
            <m:r>
              <m:t>k</m:t>
            </m:r>
          </m:e>
        </m:d>
      </m:oMath>
      <w:r>
        <w:t xml:space="preserve"> </w:t>
      </w:r>
      <w:r>
        <w:t xml:space="preserve">place the reconstruction, loadings-penalty, and survival terms on comparable numerical scales for stable optimization.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which at each outer iteration updates</w:t>
      </w:r>
      <w:r>
        <w:t xml:space="preserve"> </w:t>
      </w:r>
      <m:oMath>
        <m:r>
          <m:t>H</m:t>
        </m:r>
      </m:oMath>
      <w:r>
        <w:t xml:space="preserve">, then</w:t>
      </w:r>
      <w:r>
        <w:t xml:space="preserve"> </w:t>
      </w:r>
      <m:oMath>
        <m:r>
          <m:t>W</m:t>
        </m:r>
      </m:oMath>
      <w:r>
        <w:t xml:space="preserve">, then</w:t>
      </w:r>
      <w:r>
        <w:t xml:space="preserve"> </w:t>
      </w:r>
      <m:oMath>
        <m:r>
          <m:t>β</m:t>
        </m:r>
      </m:oMath>
      <w:r>
        <w:t xml:space="preserve"> </w:t>
      </w:r>
      <w:r>
        <w:t xml:space="preserve">while holding the other blocks fixed.</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l</m:t>
        </m:r>
        <m:r>
          <m:t>o</m:t>
        </m:r>
        <m:r>
          <m:t>s</m:t>
        </m:r>
        <m:r>
          <m:t>s</m:t>
        </m:r>
        <m:r>
          <m:rPr>
            <m:sty m:val="p"/>
          </m:rPr>
          <m:t>=</m:t>
        </m:r>
        <m:r>
          <m:rPr>
            <m:sty m:val="p"/>
            <m:scr m:val="script"/>
          </m:rPr>
          <m:t>L</m:t>
        </m:r>
        <m:d>
          <m:dPr>
            <m:begChr m:val="("/>
            <m:endChr m:val=")"/>
            <m:sepChr m:val=""/>
            <m:grow/>
          </m:dPr>
          <m:e>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sSup>
              <m:e>
                <m:r>
                  <m:t>β</m:t>
                </m:r>
              </m:e>
              <m:sup>
                <m:d>
                  <m:dPr>
                    <m:begChr m:val="("/>
                    <m:endChr m:val=")"/>
                    <m:sepChr m:val=""/>
                    <m:grow/>
                  </m:dPr>
                  <m:e>
                    <m:r>
                      <m:t>0</m:t>
                    </m:r>
                  </m:e>
                </m:d>
              </m:sup>
            </m:sSup>
          </m:e>
        </m:d>
      </m:oMath>
      <w:r>
        <w:br/>
      </w:r>
      <m:oMath>
        <m:r>
          <m:t>e</m:t>
        </m:r>
        <m:r>
          <m:t>p</m:t>
        </m:r>
        <m:r>
          <m:t>s</m:t>
        </m:r>
        <m:r>
          <m:rPr>
            <m:sty m:val="p"/>
          </m:rPr>
          <m:t>=</m:t>
        </m:r>
        <m:r>
          <m:rPr>
            <m:sty m:val="p"/>
          </m:rPr>
          <m:t>∞</m:t>
        </m:r>
      </m:oMath>
      <w:r>
        <w:t xml:space="preserve">,</w:t>
      </w:r>
      <w:r>
        <w:t xml:space="preserve"> </w:t>
      </w:r>
      <m:oMath>
        <m:r>
          <m:t>t</m:t>
        </m:r>
        <m:r>
          <m:rPr>
            <m:sty m:val="p"/>
          </m:rPr>
          <m:t>=</m:t>
        </m:r>
        <m:r>
          <m:t>0</m:t>
        </m:r>
      </m:oMath>
      <w:r>
        <w:br/>
      </w:r>
      <w:r>
        <w:t xml:space="preserve">while</w:t>
      </w:r>
      <w:r>
        <w:t xml:space="preserve"> </w:t>
      </w:r>
      <m:oMath>
        <m:r>
          <m:t>e</m:t>
        </m:r>
        <m:r>
          <m:t>p</m:t>
        </m:r>
        <m:r>
          <m:t>s</m:t>
        </m:r>
        <m:r>
          <m:rPr>
            <m:sty m:val="p"/>
          </m:rPr>
          <m:t>≥</m:t>
        </m:r>
        <m:r>
          <m:t>t</m:t>
        </m:r>
        <m:r>
          <m:t>o</m:t>
        </m:r>
        <m:r>
          <m:t>l</m:t>
        </m:r>
      </m:oMath>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β</m:t>
            </m:r>
          </m:e>
          <m:sup>
            <m:d>
              <m:dPr>
                <m:begChr m:val="("/>
                <m:endChr m:val=")"/>
                <m:sepChr m:val=""/>
                <m:grow/>
              </m:dPr>
              <m:e>
                <m:r>
                  <m:t>t</m:t>
                </m:r>
                <m:r>
                  <m:rPr>
                    <m:sty m:val="p"/>
                  </m:rPr>
                  <m:t>+</m:t>
                </m:r>
                <m:r>
                  <m:t>1</m:t>
                </m:r>
              </m:e>
            </m:d>
          </m:sup>
        </m:sSup>
      </m:oMath>
      <w:r>
        <w:t xml:space="preserve"> </w:t>
      </w:r>
      <w:r>
        <w:t xml:space="preserve">by solving the elastic-net Cox subproblem using cyclic coordinate descent to numerical tolerance</w:t>
      </w:r>
      <w:r>
        <w:br/>
      </w:r>
      <w:r>
        <w:t xml:space="preserve">(Eq. [eqn:beta_update]), holding</w:t>
      </w:r>
      <w:r>
        <w:t xml:space="preserve"> </w:t>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w:t>
      </w:r>
      <w:r>
        <w:br/>
      </w:r>
      <m:oMath>
        <m:r>
          <m:t>l</m:t>
        </m:r>
        <m:r>
          <m:t>o</m:t>
        </m:r>
        <m:r>
          <m:t>s</m:t>
        </m:r>
        <m:r>
          <m:t>s</m:t>
        </m:r>
        <m:r>
          <m:t>N</m:t>
        </m:r>
        <m:r>
          <m:t>e</m:t>
        </m:r>
        <m:r>
          <m:t>w</m:t>
        </m:r>
        <m:r>
          <m:rPr>
            <m:sty m:val="p"/>
          </m:rPr>
          <m:t>=</m:t>
        </m:r>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br/>
      </w:r>
      <m:oMath>
        <m:r>
          <m:t>e</m:t>
        </m:r>
        <m:r>
          <m:t>p</m:t>
        </m:r>
        <m:r>
          <m:t>s</m:t>
        </m:r>
        <m:r>
          <m:rPr>
            <m:sty m:val="p"/>
          </m:rPr>
          <m:t>=</m:t>
        </m:r>
        <m:d>
          <m:dPr>
            <m:begChr m:val="|"/>
            <m:endChr m:val="|"/>
            <m:sepChr m:val=""/>
            <m:grow/>
          </m:dPr>
          <m:e>
            <m:r>
              <m:t>l</m:t>
            </m:r>
            <m:r>
              <m:t>o</m:t>
            </m:r>
            <m:r>
              <m:t>s</m:t>
            </m:r>
            <m:r>
              <m:t>s</m:t>
            </m:r>
            <m:r>
              <m:t>N</m:t>
            </m:r>
            <m:r>
              <m:t>e</m:t>
            </m:r>
            <m:r>
              <m:t>w</m:t>
            </m:r>
            <m:r>
              <m:rPr>
                <m:sty m:val="p"/>
              </m:rPr>
              <m:t>−</m:t>
            </m:r>
            <m:r>
              <m:t>l</m:t>
            </m:r>
            <m:r>
              <m:t>o</m:t>
            </m:r>
            <m:r>
              <m:t>s</m:t>
            </m:r>
            <m:r>
              <m:t>s</m:t>
            </m:r>
          </m:e>
        </m:d>
        <m:r>
          <m:rPr>
            <m:sty m:val="p"/>
          </m:rPr>
          <m:t>/</m:t>
        </m:r>
        <m:d>
          <m:dPr>
            <m:begChr m:val="|"/>
            <m:endChr m:val="|"/>
            <m:sepChr m:val=""/>
            <m:grow/>
          </m:dPr>
          <m:e>
            <m:r>
              <m:t>l</m:t>
            </m:r>
            <m:r>
              <m:t>o</m:t>
            </m:r>
            <m:r>
              <m:t>s</m:t>
            </m:r>
            <m:r>
              <m:t>s</m:t>
            </m:r>
          </m:e>
        </m:d>
      </m:oMath>
      <w:r>
        <w:br/>
      </w:r>
      <m:oMath>
        <m:r>
          <m:t>l</m:t>
        </m:r>
        <m:r>
          <m:t>o</m:t>
        </m:r>
        <m:r>
          <m:t>s</m:t>
        </m:r>
        <m:r>
          <m:t>s</m:t>
        </m:r>
        <m:r>
          <m:rPr>
            <m:sty m:val="p"/>
          </m:rPr>
          <m:t>=</m:t>
        </m:r>
        <m:r>
          <m:t>l</m:t>
        </m:r>
        <m:r>
          <m:t>o</m:t>
        </m:r>
        <m:r>
          <m:t>s</m:t>
        </m:r>
        <m:r>
          <m:t>s</m:t>
        </m:r>
        <m:r>
          <m:t>N</m:t>
        </m:r>
        <m:r>
          <m:t>e</m:t>
        </m:r>
        <m:r>
          <m:t>w</m:t>
        </m:r>
      </m:oMath>
      <w:r>
        <w:br/>
      </w:r>
      <m:oMath>
        <m:r>
          <m:t>t</m:t>
        </m:r>
        <m:r>
          <m:rPr>
            <m:sty m:val="p"/>
          </m:rPr>
          <m:t>=</m:t>
        </m:r>
        <m:r>
          <m:t>t</m:t>
        </m:r>
        <m:r>
          <m:rPr>
            <m:sty m:val="p"/>
          </m:rPr>
          <m:t>+</m:t>
        </m:r>
        <m:r>
          <m:t>1</m:t>
        </m:r>
      </m:oMath>
      <w:r>
        <w:br/>
      </w:r>
      <w:r>
        <w:t xml:space="preserve">end while</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p>
          <m:e>
            <m:r>
              <m:t>β</m:t>
            </m:r>
          </m:e>
          <m:sup>
            <m:d>
              <m:dPr>
                <m:begChr m:val="("/>
                <m:endChr m:val=")"/>
                <m:sepChr m:val=""/>
                <m:grow/>
              </m:dPr>
              <m:e>
                <m:r>
                  <m:t>t</m:t>
                </m:r>
              </m:e>
            </m:d>
          </m:sup>
        </m:sSup>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\nabla_W \mathcal{L}</w:t>
      </w:r>
      <w:r>
        <w:t xml:space="preserve">{\mathrm{Cox}}(W,\beta)</w:t>
      </w:r>
      <w:r>
        <w:t xml:space="preserve"> </w:t>
      </w:r>
      <w:r>
        <w:t xml:space="preserve">=</w:t>
      </w:r>
      <w:r>
        <w:t xml:space="preserve"> </w:t>
      </w:r>
      <w:r>
        <w:t xml:space="preserve">\frac{2}{n_{event}}\nabla_W \ell(W,\beta),</w:t>
      </w:r>
      <w:r>
        <w:t xml:space="preserve"> </w:t>
      </w:r>
      <w:r>
        <w:t xml:space="preserve">]</w:t>
      </w:r>
      <w:r>
        <w:t xml:space="preserve"> </w:t>
      </w:r>
      <w:r>
        <w:t xml:space="preserve">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denotes the Cox gradient with respect to</w:t>
      </w:r>
      <w:r>
        <w:t xml:space="preserve"> </w:t>
      </w:r>
      <m:oMath>
        <m:r>
          <m:t>W</m:t>
        </m:r>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sSub>
                        <m:e>
                          <m:r>
                            <m:rPr>
                              <m:sty m:val="p"/>
                            </m:rPr>
                            <m:t>∇</m:t>
                          </m:r>
                        </m:e>
                        <m:sub>
                          <m:r>
                            <m:t>W</m:t>
                          </m:r>
                        </m:sub>
                      </m:sSub>
                      <m:sSub>
                        <m:e>
                          <m:r>
                            <m:rPr>
                              <m:sty m:val="p"/>
                              <m:scr m:val="script"/>
                            </m:rPr>
                            <m:t>L</m:t>
                          </m:r>
                        </m:e>
                        <m:sub>
                          <m:r>
                            <m:t>C</m:t>
                          </m:r>
                          <m:r>
                            <m:t>o</m:t>
                          </m:r>
                          <m:r>
                            <m:t>x</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The scaling removes differences in</w:t>
      </w:r>
      <w:r>
        <w:t xml:space="preserve"> </w:t>
      </w:r>
      <w:r>
        <w:t xml:space="preserve">the magnitudes of the weighted reconstruction and survival gradients before the</w:t>
      </w:r>
      <w:r>
        <w:t xml:space="preserve"> </w:t>
      </w:r>
      <w:r>
        <w:t xml:space="preserve">additional factor</w:t>
      </w:r>
      <w:r>
        <w:t xml:space="preserve"> </w:t>
      </w:r>
      <m:oMath>
        <m:r>
          <m:t>α</m:t>
        </m:r>
      </m:oMath>
      <w:r>
        <w:t xml:space="preserve"> </w:t>
      </w:r>
      <w:r>
        <w:t xml:space="preserve">below controls the relative 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\min_{\beta \in \mathbb{R}^k}</w:t>
      </w:r>
      <w:r>
        <w:t xml:space="preserve"> </w:t>
      </w:r>
      <w:r>
        <w:t xml:space="preserve">\left{</w:t>
      </w:r>
      <w:r>
        <w:t xml:space="preserve"> </w:t>
      </w:r>
      <w:r>
        <w:t xml:space="preserve">-\frac{2}{n_{\mathrm{event}}},\ell(W,\beta)</w:t>
      </w:r>
      <w:r>
        <w:t xml:space="preserve"> </w:t>
      </w:r>
      <w:r>
        <w:t xml:space="preserve">+</w:t>
      </w:r>
      <w:r>
        <w:t xml:space="preserve"> </w:t>
      </w:r>
      <w:r>
        <w:t xml:space="preserve">\lambda\left(</w:t>
      </w:r>
      <w:r>
        <w:t xml:space="preserve"> </w:t>
      </w:r>
      <w:r>
        <w:t xml:space="preserve">\xi \lVert \beta \rVert_1</w:t>
      </w:r>
      <w:r>
        <w:t xml:space="preserve"> </w:t>
      </w:r>
      <w:r>
        <w:t xml:space="preserve">+\frac{1-\xi}{2} \lVert \beta \rVert_2^2</w:t>
      </w:r>
      <w:r>
        <w:t xml:space="preserve"> </w:t>
      </w:r>
      <w:r>
        <w:t xml:space="preserve">\right)</w:t>
      </w:r>
      <w:r>
        <w:t xml:space="preserve"> </w:t>
      </w:r>
      <w:r>
        <w:t xml:space="preserve">\right}.</w:t>
      </w:r>
      <w:r>
        <w:t xml:space="preserve"> </w:t>
      </w:r>
      <w:r>
        <w:t xml:space="preserve">]</w:t>
      </w:r>
      <w:r>
        <w:t xml:space="preserve"> </w:t>
      </w:r>
      <w:r>
        <w:t xml:space="preserve">We solve this subproblem by cyclic coordinate descent following</w:t>
      </w:r>
      <w:hyperlink w:anchor="ref-simon2011regularization">
        <w:r>
          <w:rPr>
            <w:rStyle w:val="Hyperlink"/>
            <w:vertAlign w:val="superscript"/>
          </w:rPr>
          <w:t xml:space="preserve">3</w:t>
        </w:r>
      </w:hyperlink>
      <w:r>
        <w:t xml:space="preserve">. Writing</w:t>
      </w:r>
      <w:r>
        <w:t xml:space="preserve"> </w:t>
      </w:r>
      <m:oMath>
        <m:r>
          <m:rPr>
            <m:sty m:val="p"/>
          </m:rPr>
          <m:t>ℓ</m:t>
        </m:r>
        <m:d>
          <m:dPr>
            <m:begChr m:val="("/>
            <m:endChr m:val=")"/>
            <m:sepChr m:val=""/>
            <m:grow/>
          </m:dPr>
          <m:e>
            <m:r>
              <m:t>β</m:t>
            </m:r>
          </m:e>
        </m:d>
        <m:r>
          <m:rPr>
            <m:sty m:val="p"/>
          </m:rPr>
          <m:t>=</m:t>
        </m:r>
        <m:r>
          <m:rPr>
            <m:sty m:val="p"/>
          </m:rPr>
          <m:t>ℓ</m:t>
        </m:r>
        <m:d>
          <m:dPr>
            <m:begChr m:val="("/>
            <m:endChr m:val=")"/>
            <m:sepChr m:val=""/>
            <m:grow/>
          </m:dPr>
          <m:e>
            <m:r>
              <m:t>W</m:t>
            </m:r>
            <m:r>
              <m:rPr>
                <m:sty m:val="p"/>
              </m:rPr>
              <m:t>,</m:t>
            </m:r>
            <m:r>
              <m:t>β</m:t>
            </m:r>
          </m:e>
        </m:d>
      </m:oMath>
      <w:r>
        <w:t xml:space="preserve"> </w:t>
      </w:r>
      <w:r>
        <w:t xml:space="preserve">and</w:t>
      </w:r>
      <w:r>
        <w:t xml:space="preserve"> </w:t>
      </w:r>
      <m:oMath>
        <m:sSub>
          <m:e>
            <m:acc>
              <m:accPr>
                <m:chr m:val="̃"/>
              </m:accPr>
              <m:e>
                <m:r>
                  <m:t>η</m:t>
                </m:r>
              </m:e>
            </m:acc>
          </m:e>
          <m:sub>
            <m:r>
              <m:t>i</m:t>
            </m:r>
          </m:sub>
        </m:sSub>
        <m:r>
          <m:rPr>
            <m:sty m:val="p"/>
          </m:rPr>
          <m:t>=</m:t>
        </m:r>
        <m:sSubSup>
          <m:e>
            <m:r>
              <m:t>Z</m:t>
            </m:r>
          </m:e>
          <m:sub>
            <m:r>
              <m:t>i</m:t>
            </m:r>
          </m:sub>
          <m:sup>
            <m:r>
              <m:rPr>
                <m:sty m:val="p"/>
              </m:rPr>
              <m:t>⊤</m:t>
            </m:r>
          </m:sup>
        </m:sSubSup>
        <m:r>
          <m:t>β</m:t>
        </m:r>
      </m:oMath>
      <w:r>
        <w:t xml:space="preserve">,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β</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β</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 and</w:t>
      </w:r>
      <w:r>
        <w:t xml:space="preserve"> </w:t>
      </w:r>
      <m:oMath>
        <m:r>
          <m:t>w</m:t>
        </m:r>
        <m:d>
          <m:dPr>
            <m:begChr m:val="("/>
            <m:endChr m:val=")"/>
            <m:sepChr m:val=""/>
            <m:grow/>
          </m:dPr>
          <m:e>
            <m:acc>
              <m:accPr>
                <m:chr m:val="̃"/>
              </m:accPr>
              <m:e>
                <m:r>
                  <m:t>η</m:t>
                </m:r>
              </m:e>
            </m:acc>
          </m:e>
        </m:d>
      </m:oMath>
      <w:r>
        <w:t xml:space="preserve">,</w:t>
      </w:r>
      <w:r>
        <w:t xml:space="preserve"> </w:t>
      </w:r>
      <m:oMath>
        <m:r>
          <m:t>v</m:t>
        </m:r>
        <m:d>
          <m:dPr>
            <m:begChr m:val="("/>
            <m:endChr m:val=")"/>
            <m:sepChr m:val=""/>
            <m:grow/>
          </m:dPr>
          <m:e>
            <m:acc>
              <m:accPr>
                <m:chr m:val="̃"/>
              </m:accPr>
              <m:e>
                <m:r>
                  <m:t>η</m:t>
                </m:r>
              </m:e>
            </m:acc>
          </m:e>
        </m:d>
      </m:oMath>
      <w:r>
        <w:t xml:space="preserve"> </w:t>
      </w:r>
      <w:r>
        <w:t xml:space="preserve">are standard local</w:t>
      </w:r>
      <w:r>
        <w:t xml:space="preserve"> </w:t>
      </w:r>
      <w:r>
        <w:t xml:space="preserve">quadratic approximations of the Cox log-partial likelihood</w:t>
      </w:r>
      <w:hyperlink w:anchor="ref-simon2011regularization">
        <w:r>
          <w:rPr>
            <w:rStyle w:val="Hyperlink"/>
            <w:vertAlign w:val="superscript"/>
          </w:rPr>
          <w:t xml:space="preserve">3</w:t>
        </w:r>
      </w:hyperlink>
      <w:r>
        <w:t xml:space="preserve">;</w:t>
      </w:r>
      <w:r>
        <w:t xml:space="preserve"> </w:t>
      </w:r>
      <w:r>
        <w:t xml:space="preserve">the factor</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arises because the</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weight</w:t>
      </w:r>
      <w:r>
        <w:t xml:space="preserve"> </w:t>
      </w:r>
      <w:r>
        <w:t xml:space="preserve">on the log-partial likelihood in the objective cancels the one-half of the</w:t>
      </w:r>
      <w:r>
        <w:t xml:space="preserve"> </w:t>
      </w:r>
      <w:r>
        <w:t xml:space="preserve">quadratic approximation. We iterate coordinate updates until the subproblem converges to numerical</w:t>
      </w:r>
      <w:r>
        <w:t xml:space="preserve"> </w:t>
      </w:r>
      <w:r>
        <w:t xml:space="preserve">tolerance, yielding a minimizer in</w:t>
      </w:r>
      <w:r>
        <w:t xml:space="preserve"> </w:t>
      </w:r>
      <m:oMath>
        <m:r>
          <m:t>β</m:t>
        </m:r>
      </m:oMath>
      <w:r>
        <w:t xml:space="preserve"> </w:t>
      </w:r>
      <w:r>
        <w:t xml:space="preserve">for the current</w:t>
      </w:r>
      <w:r>
        <w:t xml:space="preserve"> </w:t>
      </w:r>
      <m:oMath>
        <m:r>
          <m:t>W</m:t>
        </m:r>
      </m:oMath>
      <w:r>
        <w:t xml:space="preserve">.</w:t>
      </w:r>
    </w:p>
    <w:bookmarkEnd w:id="25"/>
    <w:bookmarkStart w:id="26" w:name="normalization-of-w"/>
    <w:p>
      <w:pPr>
        <w:pStyle w:val="Heading2"/>
      </w:pPr>
      <w:r>
        <w:t xml:space="preserve">Normalization of W</w:t>
      </w:r>
    </w:p>
    <w:p>
      <w:pPr>
        <w:pStyle w:val="FirstParagraph"/>
      </w:pPr>
      <w:r>
        <w:t xml:space="preserve">After each accepted</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of column</w:t>
      </w:r>
      <w:r>
        <w:t xml:space="preserve"> </w:t>
      </w:r>
      <m:oMath>
        <m:sSub>
          <m:e>
            <m:r>
              <m:rPr>
                <m:sty m:val="p"/>
              </m:rPr>
              <m:t>ℓ</m:t>
            </m:r>
          </m:e>
          <m:sub>
            <m:r>
              <m:t>2</m:t>
            </m:r>
          </m:sub>
        </m:sSub>
      </m:oMath>
      <w:r>
        <w:t xml:space="preserve">-norms of</w:t>
      </w:r>
      <w:r>
        <w:t xml:space="preserve"> </w:t>
      </w:r>
      <m:oMath>
        <m:r>
          <m:t>W</m:t>
        </m:r>
      </m:oMath>
      <w:r>
        <w:t xml:space="preserve">.</w:t>
      </w:r>
      <w:r>
        <w:t xml:space="preserve"> </w:t>
      </w:r>
      <w:r>
        <w:t xml:space="preserve">This preserves the reconstruction</w:t>
      </w:r>
      <w:r>
        <w:t xml:space="preserve"> </w:t>
      </w:r>
      <m:oMath>
        <m:r>
          <m:t>W</m:t>
        </m:r>
        <m:r>
          <m:t>H</m:t>
        </m:r>
      </m:oMath>
      <w:r>
        <w:t xml:space="preserve"> </w:t>
      </w:r>
      <w:r>
        <w:t xml:space="preserve">and the linear predictor</w:t>
      </w:r>
      <w:r>
        <w:t xml:space="preserve"> </w:t>
      </w:r>
      <m:oMath>
        <m:r>
          <m:t>W</m:t>
        </m:r>
        <m:r>
          <m:t>β</m:t>
        </m:r>
      </m:oMath>
      <w:r>
        <w:t xml:space="preserve">; because</w:t>
      </w:r>
      <w:r>
        <w:t xml:space="preserve"> </w:t>
      </w:r>
      <w:r>
        <w:t xml:space="preserve">the accompanying rescaling of</w:t>
      </w:r>
      <w:r>
        <w:t xml:space="preserve"> </w:t>
      </w:r>
      <m:oMath>
        <m:r>
          <m:t>H</m:t>
        </m:r>
      </m:oMath>
      <w:r>
        <w:t xml:space="preserve"> </w:t>
      </w:r>
      <w:r>
        <w:t xml:space="preserve">and</w:t>
      </w:r>
      <w:r>
        <w:t xml:space="preserve"> </w:t>
      </w:r>
      <m:oMath>
        <m:r>
          <m:t>β</m:t>
        </m:r>
      </m:oMath>
      <w:r>
        <w:t xml:space="preserve"> </w:t>
      </w:r>
      <w:r>
        <w:t xml:space="preserve">can alter the penalization terms,</w:t>
      </w:r>
      <w:r>
        <w:t xml:space="preserve"> </w:t>
      </w:r>
      <w:r>
        <w:t xml:space="preserve">the normalized proposal is evaluated under the full penalized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the gradient of the DeSurv loss with respect to the programs is</w:t>
      </w:r>
      <w:r>
        <w:t xml:space="preserve"> </w:t>
      </w:r>
      <w:r>
        <w:t xml:space="preserve">[</w:t>
      </w:r>
      <w:r>
        <w:t xml:space="preserve"> </w:t>
      </w:r>
      <w:r>
        <w:t xml:space="preserve">\nabla \mathcal{L} = (1-\alpha) \nabla_W \mathcal{L}</w:t>
      </w:r>
      <w:r>
        <w:rPr>
          <w:iCs/>
          <w:i/>
        </w:rPr>
        <w:t xml:space="preserve">{\mathrm{NMF}}(W,H) - \alpha\nabla_W \mathcal{L}</w:t>
      </w:r>
      <w:r>
        <w:t xml:space="preserve">{\mathrm{Cox}}(W,\beta),</w:t>
      </w:r>
      <w:r>
        <w:t xml:space="preserve"> </w:t>
      </w:r>
      <w:r>
        <w:t xml:space="preserve">]</w:t>
      </w:r>
      <w:r>
        <w:t xml:space="preserve"> </w:t>
      </w:r>
      <w:r>
        <w:t xml:space="preserve">so the update for</w:t>
      </w:r>
      <w:r>
        <w:t xml:space="preserve"> </w:t>
      </w:r>
      <m:oMath>
        <m:r>
          <m:t>W</m:t>
        </m:r>
      </m:oMath>
      <w:r>
        <w:t xml:space="preserve"> </w:t>
      </w:r>
      <w:r>
        <w:t xml:space="preserve">in Equation [eqn:W_update] combines the reconstruction and supervision terms, and the gene-program definitions are shaped directly by their association with survival.</w:t>
      </w:r>
    </w:p>
    <w:p>
      <w:pPr>
        <w:pStyle w:val="BodyText"/>
      </w:pPr>
      <w:r>
        <w:t xml:space="preserve">By contrast, if supervision were applied to the sample loadings (H), the model</w:t>
      </w:r>
      <w:r>
        <w:t xml:space="preserve"> </w:t>
      </w:r>
      <w:r>
        <w:t xml:space="preserve">could reduce the Cox loss by redistributing patient-specific coefficients while</w:t>
      </w:r>
      <w:r>
        <w:t xml:space="preserve"> </w:t>
      </w:r>
      <w:r>
        <w:t xml:space="preserve">leaving the gene-level programs (W) nearly unchanged, a behavior documented for</w:t>
      </w:r>
      <w:r>
        <w:t xml:space="preserve"> </w:t>
      </w:r>
      <w:r>
        <w:t xml:space="preserve">supervised topic models, where supervision applied only to the coefficient</w:t>
      </w:r>
      <w:r>
        <w:t xml:space="preserve"> </w:t>
      </w:r>
      <w:r>
        <w:t xml:space="preserve">matrix modifies (H) but not the basis (W)</w:t>
      </w:r>
      <w:hyperlink w:anchor="ref-blei2007slda">
        <w:r>
          <w:rPr>
            <w:rStyle w:val="Hyperlink"/>
            <w:vertAlign w:val="superscript"/>
          </w:rPr>
          <w:t xml:space="preserve">10</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Methods, Hyperparameter selection and cross-validation.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folds stratified by cohort under</w:t>
      </w:r>
      <w:r>
        <w:t xml:space="preserve"> </w:t>
      </w:r>
      <w:r>
        <w:t xml:space="preserve">a fixed seed (123); each configuration was evaluated from 30 random</w:t>
      </w:r>
      <w:r>
        <w:t xml:space="preserve"> </w:t>
      </w:r>
      <w:r>
        <w:t xml:space="preserve">initializations and its C-index averaged across them.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w:t>
      </w:r>
      <w:r>
        <w:t xml:space="preserve"> </w:t>
      </w:r>
      <w:r>
        <w:t xml:space="preserve">optimal configuration. When fold-level standard errors are available, we apply</w:t>
      </w:r>
      <w:r>
        <w:t xml:space="preserve"> </w:t>
      </w:r>
      <w:r>
        <w:t xml:space="preserve">a one-standard-error rule for</w:t>
      </w:r>
      <w:r>
        <w:t xml:space="preserve"> </w:t>
      </w:r>
      <m:oMath>
        <m:r>
          <m:t>k</m:t>
        </m:r>
      </m:oMath>
      <w:r>
        <w:t xml:space="preserve">: for each rank we retain the configuration</w:t>
      </w:r>
      <w:r>
        <w:t xml:space="preserve"> </w:t>
      </w:r>
      <w:r>
        <w:t xml:space="preserve">with the highest observed mean cross-validated C-index, set the threshold one</w:t>
      </w:r>
      <w:r>
        <w:t xml:space="preserve"> </w:t>
      </w:r>
      <w:r>
        <w:t xml:space="preserve">fold-level standard error below the overall best configuration’s mean, and</w:t>
      </w:r>
      <w:r>
        <w:t xml:space="preserve"> </w:t>
      </w:r>
      <w:r>
        <w:t xml:space="preserve">select the smallest rank whose 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and neither number above is its</w:t>
      </w:r>
      <w:r>
        <w:t xml:space="preserve"> </w:t>
      </w:r>
      <w:r>
        <w:t xml:space="preserve">cross-validated performance. The nearest evaluated point is in the</w:t>
      </w:r>
      <w:r>
        <w:t xml:space="preserve"> </w:t>
      </w:r>
      <w:r>
        <w:t xml:space="preserve">fixed-hyperparameter sensitivity grid (Cross-validated C-index across</w:t>
      </w:r>
      <w:r>
        <w:t xml:space="preserve"> </w:t>
      </w:r>
      <w:r>
        <w:t xml:space="preserve">factorization rank), which holds the same</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w:t>
      </w:r>
      <w:r>
        <w:t xml:space="preserve"> </w:t>
      </w:r>
      <w:r>
        <w:t xml:space="preserve">at</w:t>
      </w:r>
      <w:r>
        <w:t xml:space="preserve"> </w:t>
      </w:r>
      <m:oMath>
        <m:r>
          <m:t>k</m:t>
        </m:r>
        <m:r>
          <m:rPr>
            <m:sty m:val="p"/>
          </m:rPr>
          <m:t>=</m:t>
        </m:r>
        <m:r>
          <m:t>3</m:t>
        </m:r>
      </m:oMath>
      <w:r>
        <w:t xml:space="preserve">,</w:t>
      </w:r>
      <w:r>
        <w:t xml:space="preserve"> </w:t>
      </w:r>
      <m:oMath>
        <m:r>
          <m:t>α</m:t>
        </m:r>
        <m:r>
          <m:rPr>
            <m:sty m:val="p"/>
          </m:rPr>
          <m:t>=</m:t>
        </m:r>
        <m:r>
          <m:t>0.35</m:t>
        </m:r>
      </m:oMath>
      <w:r>
        <w:t xml:space="preserve">, the five-fold</w:t>
      </w:r>
      <w:r>
        <w:t xml:space="preserve"> </w:t>
      </w:r>
      <w:r>
        <w:t xml:space="preserve">cross-validated C-index was</w:t>
      </w:r>
      <w:r>
        <w:t xml:space="preserve"> </w:t>
      </w:r>
      <m:oMath>
        <m:r>
          <m:t>0.656</m:t>
        </m:r>
      </m:oMath>
      <w:r>
        <w:t xml:space="preserve"> </w:t>
      </w:r>
      <w:r>
        <w:t xml:space="preserve">(standard</w:t>
      </w:r>
      <w:r>
        <w:t xml:space="preserve"> </w:t>
      </w:r>
      <w:r>
        <w:t xml:space="preserve">error</w:t>
      </w:r>
      <w:r>
        <w:t xml:space="preserve"> </w:t>
      </w:r>
      <m:oMath>
        <m:r>
          <m:t>0.010</m:t>
        </m:r>
      </m:oMath>
      <w:r>
        <w:t xml:space="preserve">).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p>
      <w:pPr>
        <w:pStyle w:val="BodyText"/>
      </w:pPr>
      <w:r>
        <w:t xml:space="preserve">The parameter</w:t>
      </w:r>
      <w:r>
        <w:t xml:space="preserve"> </w:t>
      </w:r>
      <m:oMath>
        <m:sSub>
          <m:e>
            <m:r>
              <m:t>n</m:t>
            </m:r>
          </m:e>
          <m:sub>
            <m:r>
              <m:rPr>
                <m:nor/>
                <m:sty m:val="p"/>
              </m:rPr>
              <m:t>top</m:t>
            </m:r>
          </m:sub>
        </m:sSub>
      </m:oMath>
      <w:r>
        <w:t xml:space="preserve"> </w:t>
      </w:r>
      <w:r>
        <w:t xml:space="preserve">determines the factor-specific gene support used for projection and, in the final consensus procedure, the gene sets from each restart that enter the consensus initialization. After factorization, each sample’s score for factor</w:t>
      </w:r>
      <w:r>
        <w:t xml:space="preserve"> </w:t>
      </w:r>
      <m:oMath>
        <m:r>
          <m:t>j</m:t>
        </m:r>
      </m:oMath>
      <w:r>
        <w:t xml:space="preserve"> </w:t>
      </w:r>
      <w:r>
        <w:t xml:space="preserve">is computed as</w:t>
      </w:r>
      <w:r>
        <w:t xml:space="preserve"> </w:t>
      </w:r>
      <m:oMath>
        <m:sSubSup>
          <m:e>
            <m:acc>
              <m:accPr>
                <m:chr m:val="̃"/>
              </m:accPr>
              <m:e>
                <m:r>
                  <m:t>W</m:t>
                </m:r>
              </m:e>
            </m:acc>
          </m:e>
          <m:sub>
            <m:r>
              <m:t>j</m:t>
            </m:r>
          </m:sub>
          <m:sup>
            <m:r>
              <m:rPr>
                <m:sty m:val="p"/>
              </m:rPr>
              <m:t>⊤</m:t>
            </m:r>
          </m:sup>
        </m:sSubSup>
        <m:r>
          <m:t>x</m:t>
        </m:r>
      </m:oMath>
      <w:r>
        <w:t xml:space="preserve">, where</w:t>
      </w:r>
      <w:r>
        <w:t xml:space="preserve"> </w:t>
      </w:r>
      <m:oMath>
        <m:sSub>
          <m:e>
            <m:acc>
              <m:accPr>
                <m:chr m:val="̃"/>
              </m:accPr>
              <m:e>
                <m:r>
                  <m:t>W</m:t>
                </m:r>
              </m:e>
            </m:acc>
          </m:e>
          <m:sub>
            <m:r>
              <m:t>j</m:t>
            </m:r>
          </m:sub>
        </m:sSub>
      </m:oMath>
      <w:r>
        <w:t xml:space="preserve"> </w:t>
      </w:r>
      <w:r>
        <w:t xml:space="preserve">retains only the</w:t>
      </w:r>
      <w:r>
        <w:t xml:space="preserve"> </w:t>
      </w:r>
      <m:oMath>
        <m:sSub>
          <m:e>
            <m:r>
              <m:t>n</m:t>
            </m:r>
          </m:e>
          <m:sub>
            <m:r>
              <m:rPr>
                <m:nor/>
                <m:sty m:val="p"/>
              </m:rPr>
              <m:t>top</m:t>
            </m:r>
          </m:sub>
        </m:sSub>
      </m:oMath>
      <w:r>
        <w:t xml:space="preserve"> </w:t>
      </w:r>
      <w:r>
        <w:t xml:space="preserve">genes with the largest factor-specificity scores</w:t>
      </w:r>
      <w:r>
        <w:t xml:space="preserve"> </w:t>
      </w:r>
      <m:oMath>
        <m:sSub>
          <m:e>
            <m:r>
              <m:t>s</m:t>
            </m:r>
          </m:e>
          <m:sub>
            <m:r>
              <m:t>i</m:t>
            </m:r>
            <m:r>
              <m:t>j</m:t>
            </m:r>
          </m:sub>
        </m:sSub>
      </m:oMath>
      <w:r>
        <w:t xml:space="preserve"> </w:t>
      </w:r>
      <w:r>
        <w:t xml:space="preserve">(Supplementary Information, Section [sec:gene-program-correlation]); genes outside this set still shape the factorization but do not enter the linear predictor.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11</w:t>
        </w:r>
      </w:hyperlink>
      <w:r>
        <w:rPr>
          <w:vertAlign w:val="superscript"/>
        </w:rPr>
        <w:t xml:space="preserve">,</w:t>
      </w:r>
      <w:hyperlink w:anchor="ref-cao2021proteogenomic">
        <w:r>
          <w:rPr>
            <w:rStyle w:val="Hyperlink"/>
            <w:vertAlign w:val="superscript"/>
          </w:rPr>
          <w:t xml:space="preserve">12</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13</w:t>
        </w:r>
      </w:hyperlink>
      <w:r>
        <w:rPr>
          <w:vertAlign w:val="superscript"/>
        </w:rPr>
        <w:t xml:space="preserve">–</w:t>
      </w:r>
      <w:hyperlink w:anchor="ref-puleo2018stratification">
        <w:r>
          <w:rPr>
            <w:rStyle w:val="Hyperlink"/>
            <w:vertAlign w:val="superscript"/>
          </w:rPr>
          <w:t xml:space="preserve">16</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17</w:t>
        </w:r>
      </w:hyperlink>
      <w:r>
        <w:t xml:space="preserve"> </w:t>
      </w:r>
      <w:r>
        <w:t xml:space="preserve">and DeCAF</w:t>
      </w:r>
      <w:hyperlink w:anchor="ref-peng2024determination">
        <w:r>
          <w:rPr>
            <w:rStyle w:val="Hyperlink"/>
            <w:vertAlign w:val="superscript"/>
          </w:rPr>
          <w:t xml:space="preserve">18</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18</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7"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top-</w:t>
      </w:r>
      <m:oMath>
        <m:sSub>
          <m:e>
            <m:r>
              <m:t>n</m:t>
            </m:r>
          </m:e>
          <m:sub>
            <m:r>
              <m:rPr>
                <m:nor/>
                <m:sty m:val="p"/>
              </m:rPr>
              <m:t>top</m:t>
            </m:r>
          </m:sub>
        </m:sSub>
      </m:oMath>
      <w:r>
        <w:t xml:space="preserve"> </w:t>
      </w:r>
      <w:r>
        <w:t xml:space="preserve">support, and the linear predictor is</w:t>
      </w:r>
      <w:r>
        <w:t xml:space="preserve"> </w:t>
      </w:r>
      <m:oMath>
        <m:acc>
          <m:accPr>
            <m:chr m:val="̂"/>
          </m:accPr>
          <m:e>
            <m:r>
              <m:t>η</m:t>
            </m:r>
          </m:e>
        </m:acc>
        <m:r>
          <m:rPr>
            <m:sty m:val="p"/>
          </m:rPr>
          <m:t>=</m:t>
        </m:r>
        <m:r>
          <m:t>Z</m:t>
        </m:r>
        <m:acc>
          <m:accPr>
            <m:chr m:val="̂"/>
          </m:accPr>
          <m:e>
            <m:r>
              <m:t>β</m:t>
            </m:r>
          </m:e>
        </m:acc>
      </m:oMath>
      <w:r>
        <w:t xml:space="preserve"> </w:t>
      </w:r>
      <w:r>
        <w:t xml:space="preserve">with the</w:t>
      </w:r>
      <w:r>
        <w:t xml:space="preserve"> </w:t>
      </w:r>
      <w:r>
        <w:t xml:space="preserve">trained coefficients; no re-estimation and no standardization enters the score</w:t>
      </w:r>
      <w:r>
        <w:t xml:space="preserve"> </w:t>
      </w:r>
      <w:r>
        <w:t xml:space="preserve">itself.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Every reported linear predictor is this same linear functional of expression up</w:t>
      </w:r>
      <w:r>
        <w:t xml:space="preserve"> </w:t>
      </w:r>
      <w:r>
        <w:t xml:space="preserve">to a positive constant; the manuscript uses three scalings of it, and the map</w:t>
      </w:r>
      <w:r>
        <w:t xml:space="preserve"> </w:t>
      </w:r>
      <w:r>
        <w:t xml:space="preserve">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and leaves every concordance index unchanged. (ii) The headline</w:t>
      </w:r>
      <w:r>
        <w:t xml:space="preserve"> </w:t>
      </w:r>
      <w:r>
        <w:t xml:space="preserve">pooled hazard ratio, the covariate-adjusted hazard ratios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The per-factor forest</w:t>
      </w:r>
      <w:r>
        <w:t xml:space="preserve"> </w:t>
      </w:r>
      <w:r>
        <w:t xml:space="preserve">estimates (main-text Fig. [fig:val]a), the cohort-specific hazard ratios of</w:t>
      </w:r>
      <w:r>
        <w:t xml:space="preserve"> </w:t>
      </w:r>
      <w:r>
        <w:t xml:space="preserve">Table [tab:het-ci] and the between-cohort heterogeneity test standardize each</w:t>
      </w:r>
      <w:r>
        <w:t xml:space="preserve"> </w:t>
      </w:r>
      <w:r>
        <w:t xml:space="preserve">score to zero mean and unit standard deviation within its own cohort, so they are</w:t>
      </w:r>
      <w:r>
        <w:t xml:space="preserve"> </w:t>
      </w:r>
      <w:r>
        <w:t xml:space="preserve">per within-cohort standard deviation. Hazard ratios under (ii) and (iii) are</w:t>
      </w:r>
      <w:r>
        <w:t xml:space="preserve"> </w:t>
      </w:r>
      <w:r>
        <w:t xml:space="preserve">therefore not interchangeable, whereas C-indices are identical under all three.</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End w:id="37"/>
    <w:bookmarkStart w:id="38"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17</w:t>
        </w:r>
      </w:hyperlink>
      <w:r>
        <w:t xml:space="preserve">; the DECODER compartment signatures</w:t>
      </w:r>
      <w:hyperlink w:anchor="ref-peng2019novo">
        <w:r>
          <w:rPr>
            <w:rStyle w:val="Hyperlink"/>
            <w:vertAlign w:val="superscript"/>
          </w:rPr>
          <w:t xml:space="preserve">19</w:t>
        </w:r>
      </w:hyperlink>
      <w:r>
        <w:t xml:space="preserve">; the</w:t>
      </w:r>
      <w:r>
        <w:t xml:space="preserve"> </w:t>
      </w:r>
      <w:r>
        <w:t xml:space="preserve">Moffitt tumor, stroma and immune programs</w:t>
      </w:r>
      <w:hyperlink w:anchor="ref-moffitt2015virtual">
        <w:r>
          <w:rPr>
            <w:rStyle w:val="Hyperlink"/>
            <w:vertAlign w:val="superscript"/>
          </w:rPr>
          <w:t xml:space="preserve">14</w:t>
        </w:r>
      </w:hyperlink>
      <w:r>
        <w:t xml:space="preserve">; the Collisson</w:t>
      </w:r>
      <w:r>
        <w:t xml:space="preserve"> </w:t>
      </w:r>
      <w:r>
        <w:t xml:space="preserve">subtypes</w:t>
      </w:r>
      <w:hyperlink w:anchor="ref-collisson2011subtypes">
        <w:r>
          <w:rPr>
            <w:rStyle w:val="Hyperlink"/>
            <w:vertAlign w:val="superscript"/>
          </w:rPr>
          <w:t xml:space="preserve">20</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15</w:t>
        </w:r>
      </w:hyperlink>
      <w:r>
        <w:t xml:space="preserve">; the Chan-Seng-Yue</w:t>
      </w:r>
      <w:r>
        <w:t xml:space="preserve"> </w:t>
      </w:r>
      <w:r>
        <w:t xml:space="preserve">subtypes</w:t>
      </w:r>
      <w:hyperlink w:anchor="ref-chansengyue2020transcription">
        <w:r>
          <w:rPr>
            <w:rStyle w:val="Hyperlink"/>
            <w:vertAlign w:val="superscript"/>
          </w:rPr>
          <w:t xml:space="preserve">21</w:t>
        </w:r>
      </w:hyperlink>
      <w:r>
        <w:t xml:space="preserve">; the Maurer ECM and immune programs</w:t>
      </w:r>
      <w:hyperlink w:anchor="ref-Maurer2019">
        <w:r>
          <w:rPr>
            <w:rStyle w:val="Hyperlink"/>
            <w:vertAlign w:val="superscript"/>
          </w:rPr>
          <w:t xml:space="preserve">22</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16</w:t>
        </w:r>
      </w:hyperlink>
      <w:r>
        <w:t xml:space="preserve">; the Elyada iCAF and</w:t>
      </w:r>
      <w:r>
        <w:t xml:space="preserve"> </w:t>
      </w:r>
      <w:r>
        <w:t xml:space="preserve">myCAF signatures</w:t>
      </w:r>
      <w:hyperlink w:anchor="ref-elyada2019cross">
        <w:r>
          <w:rPr>
            <w:rStyle w:val="Hyperlink"/>
            <w:vertAlign w:val="superscript"/>
          </w:rPr>
          <w:t xml:space="preserve">23</w:t>
        </w:r>
      </w:hyperlink>
      <w:r>
        <w:t xml:space="preserve">; the SCISSORS fibroblast and tumor</w:t>
      </w:r>
      <w:r>
        <w:t xml:space="preserve"> </w:t>
      </w:r>
      <w:r>
        <w:t xml:space="preserve">signatures</w:t>
      </w:r>
      <w:hyperlink w:anchor="ref-leary2023s">
        <w:r>
          <w:rPr>
            <w:rStyle w:val="Hyperlink"/>
            <w:vertAlign w:val="superscript"/>
          </w:rPr>
          <w:t xml:space="preserve">24</w:t>
        </w:r>
      </w:hyperlink>
      <w:r>
        <w:t xml:space="preserve">; and the DeCAF proCAF and restCAF programs</w:t>
      </w:r>
      <w:hyperlink w:anchor="ref-peng2024determination">
        <w:r>
          <w:rPr>
            <w:rStyle w:val="Hyperlink"/>
            <w:vertAlign w:val="superscript"/>
          </w:rPr>
          <w:t xml:space="preserve">18</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w:t>
      </w:r>
      <w:r>
        <w:t xml:space="preserve"> </w:t>
      </w:r>
      <w:r>
        <w:rPr>
          <w:rStyle w:val="VerbatimChar"/>
        </w:rPr>
        <w:t xml:space="preserve">pure basal-like'' component and its tumor-compartment</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8"/>
    <w:bookmarkStart w:id="39"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25</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 additive decomposition of reconstruction that</w:t>
      </w:r>
      <w:r>
        <w:t xml:space="preserve"> </w:t>
      </w:r>
      <w:r>
        <w:t xml:space="preserve">sums to one; individual shares may be signed in principle but were all positive</w:t>
      </w:r>
      <w:r>
        <w:t xml:space="preserve"> </w:t>
      </w:r>
      <w:r>
        <w:t xml:space="preserve">in the reported PDAC models.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the reduction in Cox partial log-likelihood when factor</w:t>
      </w:r>
      <w:r>
        <w:t xml:space="preserve"> </w:t>
      </w:r>
      <m:oMath>
        <m:r>
          <m:t>j</m:t>
        </m:r>
      </m:oMath>
      <w:r>
        <w:t xml:space="preserve"> </w:t>
      </w:r>
      <w:r>
        <w:t xml:space="preserve">is 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39"/>
    <w:bookmarkStart w:id="40"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0"/>
    <w:bookmarkStart w:id="41"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100-restart consensus fits (DeSurv, Lee NMF at matched and elbow rank, unsupervised controls)</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1"/>
    <w:bookmarkStart w:id="42" w:name="supplementary-results"/>
    <w:p>
      <w:pPr>
        <w:pStyle w:val="Heading1"/>
      </w:pPr>
      <w:r>
        <w:t xml:space="preserve">Supplementary Results</w:t>
      </w:r>
    </w:p>
    <w:bookmarkEnd w:id="42"/>
    <w:bookmarkStart w:id="43"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unsupervised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3"/>
    <w:bookmarkStart w:id="47"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survival-supervised methods, not an idiosyncrasy of the DeSurv</w:t>
      </w:r>
      <w:r>
        <w:t xml:space="preserve"> </w:t>
      </w:r>
      <w:r>
        <w:t xml:space="preserve">algorithm. Two additional findings are consistent with this conclusion: D1 is unreconstructable from the</w:t>
      </w:r>
      <w:r>
        <w:t xml:space="preserve"> </w:t>
      </w:r>
      <w:r>
        <w:t xml:space="preserve">unsupervised NMF basis (Table [tab:projection-r2]), and Lee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5" name="Picture"/>
            <a:graphic>
              <a:graphicData uri="http://schemas.openxmlformats.org/drawingml/2006/picture">
                <pic:pic>
                  <pic:nvPicPr>
                    <pic:cNvPr descr=".docx_media/figures_fig_supervised_recovery.png" id="46" name="Picture"/>
                    <pic:cNvPicPr>
                      <a:picLocks noChangeArrowheads="1" noChangeAspect="1"/>
                    </pic:cNvPicPr>
                  </pic:nvPicPr>
                  <pic:blipFill>
                    <a:blip r:embed="rId44"/>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Independent survival-supervised methods recover the D1 axis; an unsupervised method does not. (a) Absolute correlation (across training-cohort patients) of each method’s leading direction with the DeSurv D1 score, in the training cohort: supervised principal components, Cox partial least squares, and sparse Cox all recover D1 (green), whereas the leading unsupervised principal component does not (grey). (b) Sample-level agreement with D1 for Cox-PLS (supervised, green) versus the first unsupervised principal component (grey).</w:t>
      </w:r>
    </w:p>
    <w:bookmarkEnd w:id="47"/>
    <w:bookmarkStart w:id="48"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penalized (lasso) Cox (</w:t>
      </w:r>
      <w:r>
        <w:rPr>
          <w:rStyle w:val="VerbatimChar"/>
        </w:rPr>
        <w:t xml:space="preserve">glmnet</w:t>
      </w:r>
      <w:r>
        <w:t xml:space="preserve">,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DeSurv was scored with its Bayesian-optimization-selected top-270-per-factor programs;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penalized Cox. Consistent with the score-level recovery above, both tuned methods aligned with the D1 direction (training</w:t>
      </w:r>
      <w:r>
        <w:t xml:space="preserve"> </w:t>
      </w:r>
      <m:oMath>
        <m:d>
          <m:dPr>
            <m:begChr m:val="|"/>
            <m:endChr m:val="|"/>
            <m:sepChr m:val=""/>
            <m:grow/>
          </m:dPr>
          <m:e>
            <m:r>
              <m:t>r</m:t>
            </m:r>
          </m:e>
        </m:d>
        <m:r>
          <m:rPr>
            <m:sty m:val="p"/>
          </m:rPr>
          <m:t>=</m:t>
        </m:r>
        <m:r>
          <m:t>0.71</m:t>
        </m:r>
      </m:oMath>
      <w:r>
        <w:t xml:space="preserve"> </w:t>
      </w:r>
      <w:r>
        <w:t xml:space="preserve">for penalized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penalized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penalized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A sparse supervised risk score selects genes whose expression rises with risk, whereas the high-risk end of D1 is defined by loss of classical-tumor and restCAF-like expression rather than by gain of a D1 gene set, so the genes such a score selects need not be D1’s defining genes.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penalized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penalized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w:t>
      </w:r>
    </w:p>
    <w:bookmarkEnd w:id="48"/>
    <w:bookmarkStart w:id="49"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26</w:t>
        </w:r>
      </w:hyperlink>
      <w:r>
        <w:rPr>
          <w:vertAlign w:val="superscript"/>
        </w:rPr>
        <w:t xml:space="preserve">,</w:t>
      </w:r>
      <w:hyperlink w:anchor="ref-antolini2005timedependent">
        <w:r>
          <w:rPr>
            <w:rStyle w:val="Hyperlink"/>
            <w:vertAlign w:val="superscript"/>
          </w:rPr>
          <w:t xml:space="preserve">27</w:t>
        </w:r>
      </w:hyperlink>
      <w:r>
        <w:t xml:space="preserve">, and it is not a proper</w:t>
      </w:r>
      <w:r>
        <w:t xml:space="preserve"> </w:t>
      </w:r>
      <w:r>
        <w:t xml:space="preserve">scoring rule for predicted risks</w:t>
      </w:r>
      <w:hyperlink w:anchor="ref-blanche2019cindex">
        <w:r>
          <w:rPr>
            <w:rStyle w:val="Hyperlink"/>
            <w:vertAlign w:val="superscript"/>
          </w:rPr>
          <w:t xml:space="preserve">28</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cohort,</w:t>
      </w:r>
      <w:r>
        <w:t xml:space="preserve"> </w:t>
      </w:r>
      <w:r>
        <w:t xml:space="preserve">recalibrating only its scalar slope and baseline hazard within each cohort and</w:t>
      </w:r>
      <w:r>
        <w:t xml:space="preserve"> </w:t>
      </w:r>
      <w:r>
        <w:t xml:space="preserve">integrating over that cohort’s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(per-cohort range</w:t>
      </w:r>
      <w:r>
        <w:t xml:space="preserve"> </w:t>
      </w:r>
      <w:r>
        <w:t xml:space="preserve">2.9–9.4%). Because each</w:t>
      </w:r>
      <w:r>
        <w:t xml:space="preserve"> </w:t>
      </w:r>
      <w:r>
        <w:t xml:space="preserve">cohort’s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per-cohort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cohort’s</w:t>
      </w:r>
      <w:r>
        <w:t xml:space="preserve"> </w:t>
      </w:r>
      <w:r>
        <w:t xml:space="preserve">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and overstate out-of-sample 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49"/>
    <w:bookmarkStart w:id="50"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0"/>
    <w:bookmarkStart w:id="51"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convention used for the per-factor forest estimates in main-text Fig. [fig:val]a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End w:id="51"/>
    <w:bookmarkStart w:id="52"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cohort, and an ordinary least-squares model is then fitted</w:t>
      </w:r>
      <w:r>
        <w:t xml:space="preserve"> </w:t>
      </w:r>
      <w:r>
        <w:t xml:space="preserve">with cohort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cohort</w:t>
      </w:r>
      <w:r>
        <w:t xml:space="preserve"> </w:t>
      </w:r>
      <w:r>
        <w:t xml:space="preserve">before fitting, the cohort main effect absorbs essentially no variance, so the</w:t>
      </w:r>
      <w:r>
        <w:t xml:space="preserve"> </w:t>
      </w:r>
      <w:r>
        <w:t xml:space="preserve">within-cohort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cohort-stratified Cox model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cohort-stratified Cox model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2"/>
    <w:bookmarkStart w:id="53"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3"/>
    <w:bookmarkStart w:id="54"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gradient balancing between the reconstruction and Cox terms,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and a maximum of 4,000 iterations.</w:t>
      </w:r>
    </w:p>
    <w:p>
      <w:pPr>
        <w:pStyle w:val="BodyText"/>
      </w:pPr>
      <w:r>
        <w:t xml:space="preserve">100 of the 100 runs terminated on the stopping criterion rather than the iteration cap, none failed numerically, and in every run the recorded penalized objective decreased monotonically to a numerically stable value; the median number of iterations was 38 (range 17–233).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4"/>
    <w:bookmarkStart w:id="55"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reproducible with respect to initialization.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Two independently</w:t>
      </w:r>
      <w:r>
        <w:t xml:space="preserve"> </w:t>
      </w:r>
      <w:r>
        <w:t xml:space="preserve">seeded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Splitting the restarts halves the</w:t>
      </w:r>
      <w:r>
        <w:t xml:space="preserve"> </w:t>
      </w:r>
      <w:r>
        <w:t xml:space="preserve">number aggregated relative to the reported procedure, so these figures are</w:t>
      </w:r>
      <w:r>
        <w:t xml:space="preserve"> </w:t>
      </w:r>
      <w:r>
        <w:t xml:space="preserve">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reproducible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 100-gene list is shorter than the</w:t>
      </w:r>
      <w:r>
        <w:t xml:space="preserve"> </w:t>
      </w:r>
      <w:r>
        <w:t xml:space="preserve">270-gene projection support so that the comparison is on a common footing with</w:t>
      </w:r>
      <w:r>
        <w:t xml:space="preserve"> </w:t>
      </w:r>
      <w:r>
        <w:t xml:space="preserve">the single-vector comparators, whose gene 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5"/>
    <w:bookmarkStart w:id="59"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outcome-neutral background signal, and survival depended on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t>
      </w:r>
      <m:oMath>
        <m:r>
          <m:t>β</m:t>
        </m:r>
        <m:r>
          <m:rPr>
            <m:sty m:val="p"/>
          </m:rPr>
          <m:t>=</m:t>
        </m:r>
        <m:r>
          <m:t>0</m:t>
        </m:r>
      </m:oMath>
      <w:r>
        <w:t xml:space="preserve">), so no prognostic structure existed. In the mixed scenario, survival depended on 300 genes per survival-driving factor, of which 50% were factor-specific markers and 50% were background genes with loadings shared across all factors.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and identical gamma distribution parameters for the gene loading matrix</w:t>
      </w:r>
      <w:r>
        <w:t xml:space="preserve"> </w:t>
      </w:r>
      <m:oMath>
        <m:r>
          <m:t>W</m:t>
        </m:r>
      </m:oMath>
      <w:r>
        <w:t xml:space="preserve"> </w:t>
      </w:r>
      <w:r>
        <w:t xml:space="preserve">(see Methods). Performance was evaluated using the concordance index (C-index) on the held-out 30% test split of each replicate, precision of recovered prognostic gene sets, and the distribution of selected ranks across simulation replicates.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Recall is insensitive to factor matching because it searches the union of all learned factors rather than a single matched factor;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when they partially overlapped (mixed, as background-gene dilution reduced the discrimination gain),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57" name="Picture"/>
            <a:graphic>
              <a:graphicData uri="http://schemas.openxmlformats.org/drawingml/2006/picture">
                <pic:pic>
                  <pic:nvPicPr>
                    <pic:cNvPr descr=".docx_media/figures_fig_sim_null_mixed_1.png" id="58" name="Picture"/>
                    <pic:cNvPicPr>
                      <a:picLocks noChangeArrowheads="1" noChangeAspect="1"/>
                    </pic:cNvPicPr>
                  </pic:nvPicPr>
                  <pic:blipFill>
                    <a:blip r:embed="rId56"/>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59"/>
    <w:bookmarkStart w:id="63"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this fixed-hyperparameter sensitivity grid also selects</w:t>
      </w:r>
      <w:r>
        <w:t xml:space="preserve"> </w:t>
      </w:r>
      <m:oMath>
        <m:r>
          <m:t>k</m:t>
        </m:r>
        <m:r>
          <m:rPr>
            <m:sty m:val="p"/>
          </m:rPr>
          <m:t>=</m:t>
        </m:r>
        <m:r>
          <m:t>3</m:t>
        </m:r>
      </m:oMath>
      <w:r>
        <w:t xml:space="preserve">.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1" name="Picture"/>
            <a:graphic>
              <a:graphicData uri="http://schemas.openxmlformats.org/drawingml/2006/picture">
                <pic:pic>
                  <pic:nvPicPr>
                    <pic:cNvPr descr=".docx_media/figures_fig_cindex_by_k_1.png" id="62" name="Picture"/>
                    <pic:cNvPicPr>
                      <a:picLocks noChangeArrowheads="1" noChangeAspect="1"/>
                    </pic:cNvPicPr>
                  </pic:nvPicPr>
                  <pic:blipFill>
                    <a:blip r:embed="rId60"/>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pooled across all external cohorts.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3"/>
    <w:bookmarkStart w:id="67"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Lee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5" name="Picture"/>
            <a:graphic>
              <a:graphicData uri="http://schemas.openxmlformats.org/drawingml/2006/picture">
                <pic:pic>
                  <pic:nvPicPr>
                    <pic:cNvPr descr=".docx_media/figures_fig_nmf_diagnostics_1.png" id="66" name="Picture"/>
                    <pic:cNvPicPr>
                      <a:picLocks noChangeArrowheads="1" noChangeAspect="1"/>
                    </pic:cNvPicPr>
                  </pic:nvPicPr>
                  <pic:blipFill>
                    <a:blip r:embed="rId64"/>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67"/>
    <w:bookmarkStart w:id="77"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Lee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Bayesian optimization at</w:t>
      </w:r>
      <w:r>
        <w:t xml:space="preserve"> </w:t>
      </w:r>
      <m:oMath>
        <m:r>
          <m:t>α</m:t>
        </m:r>
        <m:r>
          <m:rPr>
            <m:sty m:val="p"/>
          </m:rPr>
          <m:t>=</m:t>
        </m:r>
        <m:r>
          <m:t>0</m:t>
        </m:r>
      </m:oMath>
      <w:r>
        <w:t xml:space="preserve"> </w:t>
      </w:r>
      <w:r>
        <w:t xml:space="preserve">selects</w:t>
      </w:r>
      <w:r>
        <w:t xml:space="preserve"> </w:t>
      </w:r>
      <m:oMath>
        <m:r>
          <m:t>k</m:t>
        </m:r>
        <m:r>
          <m:rPr>
            <m:sty m:val="p"/>
          </m:rPr>
          <m:t>=</m:t>
        </m:r>
        <m:r>
          <m:t>7</m:t>
        </m:r>
      </m:oMath>
      <w:r>
        <w:t xml:space="preserve"> </w:t>
      </w:r>
      <w:r>
        <w:t xml:space="preserve">(the rank-optimized unsupervised control), whereas the one-standard-error rule applied to the supervised DeSurv BO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r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69" name="Picture"/>
            <a:graphic>
              <a:graphicData uri="http://schemas.openxmlformats.org/drawingml/2006/picture">
                <pic:pic>
                  <pic:nvPicPr>
                    <pic:cNvPr descr="figures/fig-nmf-k7-heatmap-1.png" id="70" name="Picture"/>
                    <pic:cNvPicPr>
                      <a:picLocks noChangeArrowheads="1" noChangeAspect="1"/>
                    </pic:cNvPicPr>
                  </pic:nvPicPr>
                  <pic:blipFill>
                    <a:blip r:embed="rId68"/>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w:t>
      </w:r>
      <w:r>
        <w:t xml:space="preserve"> </w:t>
      </w:r>
      <m:oMath>
        <m:r>
          <m:t>r</m:t>
        </m:r>
        <m:r>
          <m:rPr>
            <m:sty m:val="p"/>
          </m:rPr>
          <m:t>&gt;</m:t>
        </m:r>
        <m:r>
          <m:t>0.2</m:t>
        </m:r>
      </m:oMath>
      <w:r>
        <w:t xml:space="preserve"> </w:t>
      </w:r>
      <w:r>
        <w:t xml:space="preserve">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4"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r</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r</m:t>
        </m:r>
        <m:r>
          <m:rPr>
            <m:sty m:val="p"/>
          </m:rPr>
          <m:t>&gt;</m:t>
        </m:r>
        <m:r>
          <m:t>0.2</m:t>
        </m:r>
      </m:oMath>
      <w:r>
        <w:t xml:space="preserve">. Edges is the total number of (factor, reference-program) pairs at</w:t>
      </w:r>
      <w:r>
        <w:t xml:space="preserve"> </w:t>
      </w:r>
      <m:oMath>
        <m:r>
          <m:t>r</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consensus-fit anchors are overlaid: DeSurv (</w:t>
      </w:r>
      <m:oMath>
        <m:r>
          <m:t>k</m:t>
        </m:r>
        <m:r>
          <m:rPr>
            <m:sty m:val="p"/>
          </m:rPr>
          <m:t>=</m:t>
        </m:r>
        <m:r>
          <m:t>3</m:t>
        </m:r>
      </m:oMath>
      <w:r>
        <w:t xml:space="preserve">), standard NMF at matched rank (</w:t>
      </w:r>
      <m:oMath>
        <m:r>
          <m:t>k</m:t>
        </m:r>
        <m:r>
          <m:rPr>
            <m:sty m:val="p"/>
          </m:rPr>
          <m:t>=</m:t>
        </m:r>
        <m:r>
          <m:t>3</m:t>
        </m:r>
      </m:oMath>
      <w:r>
        <w:t xml:space="preserve">; Lee NMF), and the rank-optimized unsupervised control (</w:t>
      </w:r>
      <m:oMath>
        <m:r>
          <m:t>k</m:t>
        </m:r>
        <m:r>
          <m:rPr>
            <m:sty m:val="p"/>
          </m:rPr>
          <m:t>=</m:t>
        </m:r>
        <m:r>
          <m:t>7</m:t>
        </m:r>
      </m:oMath>
      <w:r>
        <w:t xml:space="preserve">,</w:t>
      </w:r>
      <w:r>
        <w:t xml:space="preserve"> </w:t>
      </w:r>
      <m:oMath>
        <m:r>
          <m:t>α</m:t>
        </m:r>
        <m:r>
          <m:rPr>
            <m:sty m:val="p"/>
          </m:rPr>
          <m:t>=</m:t>
        </m:r>
        <m:r>
          <m:t>0</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their collapse is the single-run dispersion documented in Stability of the recovered gene programs, not a property of the consensus fits.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2" name="Picture"/>
            <a:graphic>
              <a:graphicData uri="http://schemas.openxmlformats.org/drawingml/2006/picture">
                <pic:pic>
                  <pic:nvPicPr>
                    <pic:cNvPr descr=".docx_media/figures_fig_reference_program_multiplicity.png" id="73" name="Picture"/>
                    <pic:cNvPicPr>
                      <a:picLocks noChangeArrowheads="1" noChangeAspect="1"/>
                    </pic:cNvPicPr>
                  </pic:nvPicPr>
                  <pic:blipFill>
                    <a:blip r:embed="rId71"/>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w:t>
      </w:r>
      <w:r>
        <w:rPr>
          <w:iCs/>
          <w:i/>
        </w:rPr>
        <w:t xml:space="preserve"> </w:t>
      </w:r>
      <m:oMath>
        <m:r>
          <m:t>r</m:t>
        </m:r>
        <m:r>
          <m:rPr>
            <m:sty m:val="p"/>
          </m:rPr>
          <m:t>&gt;</m:t>
        </m:r>
        <m:r>
          <m:t>0.2</m:t>
        </m:r>
      </m:oMath>
      <w:r>
        <w:rPr>
          <w:iCs/>
          <w:i/>
        </w:rPr>
        <w:t xml:space="preserve"> </w:t>
      </w:r>
      <w:r>
        <w:rPr>
          <w:iCs/>
          <w:i/>
        </w:rPr>
        <w:t xml:space="preserve">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consensus-fit anchors (DeSurv</w:t>
      </w:r>
      <w:r>
        <w:rPr>
          <w:iCs/>
          <w:i/>
        </w:rPr>
        <w:t xml:space="preserve"> </w:t>
      </w:r>
      <m:oMath>
        <m:r>
          <m:t>k</m:t>
        </m:r>
        <m:r>
          <m:rPr>
            <m:sty m:val="p"/>
          </m:rPr>
          <m:t>=</m:t>
        </m:r>
        <m:r>
          <m:t>3</m:t>
        </m:r>
      </m:oMath>
      <w:r>
        <w:rPr>
          <w:iCs/>
          <w:i/>
        </w:rPr>
        <w:t xml:space="preserve">, matched-rank standard NMF</w:t>
      </w:r>
      <w:r>
        <w:rPr>
          <w:iCs/>
          <w:i/>
        </w:rPr>
        <w:t xml:space="preserve"> </w:t>
      </w:r>
      <m:oMath>
        <m:r>
          <m:t>k</m:t>
        </m:r>
        <m:r>
          <m:rPr>
            <m:sty m:val="p"/>
          </m:rPr>
          <m:t>=</m:t>
        </m:r>
        <m:r>
          <m:t>3</m:t>
        </m:r>
      </m:oMath>
      <w:r>
        <w:rPr>
          <w:iCs/>
          <w:i/>
        </w:rPr>
        <w:t xml:space="preserve">, rank-optimized unsupervised control</w:t>
      </w:r>
      <w:r>
        <w:rPr>
          <w:iCs/>
          <w:i/>
        </w:rPr>
        <w:t xml:space="preserve"> </w:t>
      </w:r>
      <m:oMath>
        <m:r>
          <m:t>k</m:t>
        </m:r>
        <m:r>
          <m:rPr>
            <m:sty m:val="p"/>
          </m:rPr>
          <m:t>=</m:t>
        </m:r>
        <m:r>
          <m:t>7</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Lee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Lee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Lee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Lee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 therefore varies only supervision and does not improve on</w:t>
      </w:r>
      <w:r>
        <w:rPr>
          <w:iCs/>
          <w:i/>
        </w:rPr>
        <w:t xml:space="preserve"> </w:t>
      </w:r>
      <w:r>
        <w:rPr>
          <w:rStyle w:val="VerbatimChar"/>
          <w:iCs/>
          <w:i/>
        </w:rPr>
        <w:t xml:space="preserve">NMF::nmf</w:t>
      </w:r>
      <w:r>
        <w:rPr>
          <w:iCs/>
          <w:i/>
        </w:rPr>
        <w:t xml:space="preserve"> </w:t>
      </w:r>
      <w:r>
        <w:rPr>
          <w:iCs/>
          <w:i/>
        </w:rPr>
        <w:t xml:space="preserve">at the same rank. Higher values indicate better discrimination. All columns are scored on the same union-of-top-genes support (</w:t>
      </w:r>
      <m:oMath>
        <m:sSub>
          <m:e>
            <m:r>
              <m:t>n</m:t>
            </m:r>
          </m:e>
          <m:sub>
            <m:r>
              <m:rPr>
                <m:nor/>
                <m:sty m:val="p"/>
              </m:rPr>
              <m:t>top</m:t>
            </m:r>
          </m:sub>
        </m:sSub>
        <m:r>
          <m:rPr>
            <m:sty m:val="p"/>
          </m:rPr>
          <m:t>=</m:t>
        </m:r>
        <m:r>
          <m:t>270</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4"/>
    <w:bookmarkStart w:id="75"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enriched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5"/>
    <w:bookmarkStart w:id="76"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control that holds everything but supervision fixed: Bayesian optimization was run with</w:t>
      </w:r>
      <w:r>
        <w:t xml:space="preserve"> </w:t>
      </w:r>
      <m:oMath>
        <m:r>
          <m:t>α</m:t>
        </m:r>
      </m:oMath>
      <w:r>
        <w:t xml:space="preserve"> </w:t>
      </w:r>
      <w:r>
        <w:t xml:space="preserve">pinned to</w:t>
      </w:r>
      <w:r>
        <w:t xml:space="preserve"> </w:t>
      </w:r>
      <m:oMath>
        <m:r>
          <m:t>0</m:t>
        </m:r>
      </m:oMath>
      <w:r>
        <w:t xml:space="preserve"> </w:t>
      </w:r>
      <w:r>
        <w:t xml:space="preserve">and the rank pinned to DeSurv’s selected</w:t>
      </w:r>
      <w:r>
        <w:t xml:space="preserve"> </w:t>
      </w:r>
      <m:oMath>
        <m:r>
          <m:t>k</m:t>
        </m:r>
        <m:r>
          <m:rPr>
            <m:sty m:val="p"/>
          </m:rPr>
          <m:t>=</m:t>
        </m:r>
        <m:r>
          <m:t>3</m:t>
        </m:r>
      </m:oMath>
      <w:r>
        <w:t xml:space="preserve">, with the same optimizer, search budget, gene filter and cross-validation folds, re-optimizing only the remaining hyperparameters; the resulting model was then fit by the same 100-restart consensus procedure used for DeSurv.</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Because</w:t>
      </w:r>
      <w:r>
        <w:t xml:space="preserve"> </w:t>
      </w:r>
      <m:oMath>
        <m:r>
          <m:t>α</m:t>
        </m:r>
        <m:r>
          <m:rPr>
            <m:sty m:val="p"/>
          </m:rPr>
          <m:t>=</m:t>
        </m:r>
        <m:r>
          <m:t>0</m:t>
        </m:r>
      </m:oMath>
      <w:r>
        <w:t xml:space="preserve"> </w:t>
      </w:r>
      <w:r>
        <w:t xml:space="preserve">removes the</w:t>
      </w:r>
      <w:r>
        <w:t xml:space="preserve"> </w:t>
      </w:r>
      <w:r>
        <w:t xml:space="preserve">survival term, the selected</w:t>
      </w:r>
      <w:r>
        <w:t xml:space="preserve"> </w:t>
      </w:r>
      <m:oMath>
        <m:r>
          <m:t>λ</m:t>
        </m:r>
      </m:oMath>
      <w:r>
        <w:t xml:space="preserve"> </w:t>
      </w:r>
      <w:r>
        <w:t xml:space="preserve">is not comparable like-for-like with the</w:t>
      </w:r>
      <w:r>
        <w:t xml:space="preserve"> </w:t>
      </w:r>
      <w:r>
        <w:t xml:space="preserve">supervised model’s.</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Lee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Lee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tradeoff is between that higher discrimination and a less parsimonious factorization: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w:t>
      </w:r>
    </w:p>
    <w:bookmarkEnd w:id="76"/>
    <w:bookmarkEnd w:id="77"/>
    <w:bookmarkStart w:id="78"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factor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78"/>
    <w:bookmarkStart w:id="82"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stromal</w:t>
      </w:r>
      <w:r>
        <w:t xml:space="preserve"> </w:t>
      </w:r>
      <m:oMath>
        <m:sSub>
          <m:e>
            <m:r>
              <m:t>D</m:t>
            </m:r>
          </m:e>
          <m:sub>
            <m:r>
              <m:t>2</m:t>
            </m:r>
          </m:sub>
        </m:sSub>
      </m:oMath>
      <w:r>
        <w:t xml:space="preserve"> </w:t>
      </w:r>
      <w:r>
        <w:t xml:space="preserve">program changes with therapy (Fig. [fig:treated]b).</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79"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79"/>
    <w:bookmarkStart w:id="80" w:name="treatment-associated-change-in-d2"/>
    <w:p>
      <w:pPr>
        <w:pStyle w:val="Heading2"/>
      </w:pPr>
      <w:r>
        <w:t xml:space="preserve">Treatment-associated change in D2</w:t>
      </w:r>
    </w:p>
    <w:p>
      <w:pPr>
        <w:pStyle w:val="FirstParagraph"/>
      </w:pPr>
      <w:r>
        <w:t xml:space="preserve">In the 29 Linehan patients with paired pre- and post-treatment biopsies,</w:t>
      </w:r>
      <w:r>
        <w:t xml:space="preserve"> </w:t>
      </w:r>
      <m:oMath>
        <m:sSub>
          <m:e>
            <m:r>
              <m:t>D</m:t>
            </m:r>
          </m:e>
          <m:sub>
            <m:r>
              <m:t>2</m:t>
            </m:r>
          </m:sub>
        </m:sSub>
      </m:oMath>
      <w:r>
        <w:t xml:space="preserve"> </w:t>
      </w:r>
      <w:r>
        <w:t xml:space="preserve">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0"/>
    <w:bookmarkStart w:id="81" w:name="caveats"/>
    <w:p>
      <w:pPr>
        <w:pStyle w:val="Heading2"/>
      </w:pPr>
      <w:r>
        <w:t xml:space="preserve">Caveats</w:t>
      </w:r>
    </w:p>
    <w:p>
      <w:pPr>
        <w:pStyle w:val="FirstParagraph"/>
      </w:pPr>
      <w:r>
        <w:t xml:space="preserve">These analyses are exploratory and prognostic, not predictive: treatment, stage and cohort are confounded, the treated cohorts are modestly sized, and no analysis plan was preregistered. Each analysis is confined to a single cohort, and the O’Kane/COMPASS common slope is estimated within that cohort from a model with arm-specific baseline hazards; it is not a pooled estimate across cohorts. We do not test a survival association for</w:t>
      </w:r>
      <w:r>
        <w:t xml:space="preserve"> </w:t>
      </w:r>
      <m:oMath>
        <m:sSub>
          <m:e>
            <m:r>
              <m:t>D</m:t>
            </m:r>
          </m:e>
          <m:sub>
            <m:r>
              <m:t>2</m:t>
            </m:r>
          </m:sub>
        </m:sSub>
      </m:oMath>
      <w:r>
        <w:t xml:space="preserve"> </w:t>
      </w:r>
      <w:r>
        <w:t xml:space="preserve">in the paired Linehan cohort, because its trained coefficient is zero. No</w:t>
      </w:r>
      <w:r>
        <w:t xml:space="preserve"> </w:t>
      </w:r>
      <m:oMath>
        <m:sSub>
          <m:e>
            <m:r>
              <m:t>D</m:t>
            </m:r>
          </m:e>
          <m:sub>
            <m:r>
              <m:t>2</m:t>
            </m:r>
          </m:sub>
        </m:sSub>
      </m:oMath>
      <w:r>
        <w:t xml:space="preserve"> </w:t>
      </w:r>
      <w:r>
        <w:t xml:space="preserve">analysis is possible in O’Kane/COMPASS, whose specimens are laser-capture epithelium rather than bulk tissue. Robust treated-cohort validation, and any assessment of whether the programs predict differential treatment benefit, will require larger harmonized series with adequately powered treatment-by-program interaction analyses.</w:t>
      </w:r>
    </w:p>
    <w:bookmarkEnd w:id="81"/>
    <w:bookmarkEnd w:id="82"/>
    <w:bookmarkStart w:id="135" w:name="bibliography"/>
    <w:p>
      <w:pPr>
        <w:pStyle w:val="Heading1"/>
      </w:pPr>
      <w:r>
        <w:t xml:space="preserve">SI References</w:t>
      </w:r>
    </w:p>
    <w:bookmarkStart w:id="134" w:name="refs"/>
    <w:bookmarkStart w:id="83"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3"/>
    <w:bookmarkStart w:id="85"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4">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5"/>
    <w:bookmarkStart w:id="87" w:name="ref-simon2011regularization"/>
    <w:p>
      <w:pPr>
        <w:pStyle w:val="Bibliography"/>
      </w:pPr>
      <w:r>
        <w:t xml:space="preserve">3.</w:t>
      </w:r>
      <w:r>
        <w:t xml:space="preserve"> </w:t>
      </w:r>
      <w:r>
        <w:t xml:space="preserve">	</w:t>
      </w:r>
      <w:r>
        <w:t xml:space="preserve">Simon, N., Friedman, J. H., Hastie, T. &amp; Tibshirani, R.</w:t>
      </w:r>
      <w:r>
        <w:t xml:space="preserve"> </w:t>
      </w:r>
      <w:hyperlink r:id="rId86">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87"/>
    <w:bookmarkStart w:id="88"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88"/>
    <w:bookmarkStart w:id="90"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89">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0"/>
    <w:bookmarkStart w:id="91"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1"/>
    <w:bookmarkStart w:id="93" w:name="ref-brunet2004metagenes"/>
    <w:p>
      <w:pPr>
        <w:pStyle w:val="Bibliography"/>
      </w:pPr>
      <w:r>
        <w:t xml:space="preserve">7.</w:t>
      </w:r>
      <w:r>
        <w:t xml:space="preserve"> </w:t>
      </w:r>
      <w:r>
        <w:t xml:space="preserve">	</w:t>
      </w:r>
      <w:r>
        <w:t xml:space="preserve">Brunet, J.-P., Tamayo, P., Golub, T. R. &amp; Mesirov, J. P.</w:t>
      </w:r>
      <w:r>
        <w:t xml:space="preserve"> </w:t>
      </w:r>
      <w:hyperlink r:id="rId92">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3"/>
    <w:bookmarkStart w:id="95"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4">
        <w:r>
          <w:rPr>
            <w:rStyle w:val="Hyperlink"/>
          </w:rPr>
          <w:t xml:space="preserve">https://faculty.cc.gatech.edu/~hpark/papers/GT-CSE-08-01.pdf</w:t>
        </w:r>
      </w:hyperlink>
      <w:r>
        <w:t xml:space="preserve"> </w:t>
      </w:r>
      <w:r>
        <w:t xml:space="preserve">(2008).</w:t>
      </w:r>
    </w:p>
    <w:bookmarkEnd w:id="95"/>
    <w:bookmarkStart w:id="97" w:name="ref-gillis2012accelerated"/>
    <w:p>
      <w:pPr>
        <w:pStyle w:val="Bibliography"/>
      </w:pPr>
      <w:r>
        <w:t xml:space="preserve">9.</w:t>
      </w:r>
      <w:r>
        <w:t xml:space="preserve"> </w:t>
      </w:r>
      <w:r>
        <w:t xml:space="preserve">	</w:t>
      </w:r>
      <w:r>
        <w:t xml:space="preserve">Gillis, N. &amp; Glineur, F.</w:t>
      </w:r>
      <w:r>
        <w:t xml:space="preserve"> </w:t>
      </w:r>
      <w:hyperlink r:id="rId96">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97"/>
    <w:bookmarkStart w:id="98" w:name="ref-blei2007slda"/>
    <w:p>
      <w:pPr>
        <w:pStyle w:val="Bibliography"/>
      </w:pPr>
      <w:r>
        <w:t xml:space="preserve">10.</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98"/>
    <w:bookmarkStart w:id="100" w:name="ref-raphael2017integrated"/>
    <w:p>
      <w:pPr>
        <w:pStyle w:val="Bibliography"/>
      </w:pPr>
      <w:r>
        <w:t xml:space="preserve">11.</w:t>
      </w:r>
      <w:r>
        <w:t xml:space="preserve"> </w:t>
      </w:r>
      <w:r>
        <w:t xml:space="preserve">	</w:t>
      </w:r>
      <w:r>
        <w:t xml:space="preserve">Raphael, B. J.</w:t>
      </w:r>
      <w:r>
        <w:t xml:space="preserve"> </w:t>
      </w:r>
      <w:r>
        <w:rPr>
          <w:iCs/>
          <w:i/>
        </w:rPr>
        <w:t xml:space="preserve">et al.</w:t>
      </w:r>
      <w:r>
        <w:t xml:space="preserve"> </w:t>
      </w:r>
      <w:hyperlink r:id="rId99">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0"/>
    <w:bookmarkStart w:id="102" w:name="ref-cao2021proteogenomic"/>
    <w:p>
      <w:pPr>
        <w:pStyle w:val="Bibliography"/>
      </w:pPr>
      <w:r>
        <w:t xml:space="preserve">12.</w:t>
      </w:r>
      <w:r>
        <w:t xml:space="preserve"> </w:t>
      </w:r>
      <w:r>
        <w:t xml:space="preserve">	</w:t>
      </w:r>
      <w:r>
        <w:t xml:space="preserve">Cao, L.</w:t>
      </w:r>
      <w:r>
        <w:t xml:space="preserve"> </w:t>
      </w:r>
      <w:r>
        <w:rPr>
          <w:iCs/>
          <w:i/>
        </w:rPr>
        <w:t xml:space="preserve">et al.</w:t>
      </w:r>
      <w:r>
        <w:t xml:space="preserve"> </w:t>
      </w:r>
      <w:hyperlink r:id="rId101">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2"/>
    <w:bookmarkStart w:id="104" w:name="ref-dijk2020unsupervised"/>
    <w:p>
      <w:pPr>
        <w:pStyle w:val="Bibliography"/>
      </w:pPr>
      <w:r>
        <w:t xml:space="preserve">13.</w:t>
      </w:r>
      <w:r>
        <w:t xml:space="preserve"> </w:t>
      </w:r>
      <w:r>
        <w:t xml:space="preserve">	</w:t>
      </w:r>
      <w:r>
        <w:t xml:space="preserve">Dijk, F.</w:t>
      </w:r>
      <w:r>
        <w:t xml:space="preserve"> </w:t>
      </w:r>
      <w:r>
        <w:rPr>
          <w:iCs/>
          <w:i/>
        </w:rPr>
        <w:t xml:space="preserve">et al.</w:t>
      </w:r>
      <w:r>
        <w:t xml:space="preserve"> </w:t>
      </w:r>
      <w:hyperlink r:id="rId103">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4"/>
    <w:bookmarkStart w:id="106" w:name="ref-moffitt2015virtual"/>
    <w:p>
      <w:pPr>
        <w:pStyle w:val="Bibliography"/>
      </w:pPr>
      <w:r>
        <w:t xml:space="preserve">14.</w:t>
      </w:r>
      <w:r>
        <w:t xml:space="preserve"> </w:t>
      </w:r>
      <w:r>
        <w:t xml:space="preserve">	</w:t>
      </w:r>
      <w:r>
        <w:t xml:space="preserve">Moffitt, R. A.</w:t>
      </w:r>
      <w:r>
        <w:t xml:space="preserve"> </w:t>
      </w:r>
      <w:r>
        <w:rPr>
          <w:iCs/>
          <w:i/>
        </w:rPr>
        <w:t xml:space="preserve">et al.</w:t>
      </w:r>
      <w:r>
        <w:t xml:space="preserve"> </w:t>
      </w:r>
      <w:hyperlink r:id="rId105">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06"/>
    <w:bookmarkStart w:id="108" w:name="ref-Bailey2016"/>
    <w:p>
      <w:pPr>
        <w:pStyle w:val="Bibliography"/>
      </w:pPr>
      <w:r>
        <w:t xml:space="preserve">15.</w:t>
      </w:r>
      <w:r>
        <w:t xml:space="preserve"> </w:t>
      </w:r>
      <w:r>
        <w:t xml:space="preserve">	</w:t>
      </w:r>
      <w:r>
        <w:t xml:space="preserve">Bailey, P.</w:t>
      </w:r>
      <w:r>
        <w:t xml:space="preserve"> </w:t>
      </w:r>
      <w:r>
        <w:rPr>
          <w:iCs/>
          <w:i/>
        </w:rPr>
        <w:t xml:space="preserve">et al.</w:t>
      </w:r>
      <w:r>
        <w:t xml:space="preserve"> </w:t>
      </w:r>
      <w:hyperlink r:id="rId107">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08"/>
    <w:bookmarkStart w:id="110" w:name="ref-puleo2018stratification"/>
    <w:p>
      <w:pPr>
        <w:pStyle w:val="Bibliography"/>
      </w:pPr>
      <w:r>
        <w:t xml:space="preserve">16.</w:t>
      </w:r>
      <w:r>
        <w:t xml:space="preserve"> </w:t>
      </w:r>
      <w:r>
        <w:t xml:space="preserve">	</w:t>
      </w:r>
      <w:r>
        <w:t xml:space="preserve">Puleo, F.</w:t>
      </w:r>
      <w:r>
        <w:t xml:space="preserve"> </w:t>
      </w:r>
      <w:r>
        <w:rPr>
          <w:iCs/>
          <w:i/>
        </w:rPr>
        <w:t xml:space="preserve">et al.</w:t>
      </w:r>
      <w:r>
        <w:t xml:space="preserve"> </w:t>
      </w:r>
      <w:hyperlink r:id="rId109">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0"/>
    <w:bookmarkStart w:id="112" w:name="ref-rashid2020purity"/>
    <w:p>
      <w:pPr>
        <w:pStyle w:val="Bibliography"/>
      </w:pPr>
      <w:r>
        <w:t xml:space="preserve">17.</w:t>
      </w:r>
      <w:r>
        <w:t xml:space="preserve"> </w:t>
      </w:r>
      <w:r>
        <w:t xml:space="preserve">	</w:t>
      </w:r>
      <w:r>
        <w:t xml:space="preserve">Rashid, N. U.</w:t>
      </w:r>
      <w:r>
        <w:t xml:space="preserve"> </w:t>
      </w:r>
      <w:r>
        <w:rPr>
          <w:iCs/>
          <w:i/>
        </w:rPr>
        <w:t xml:space="preserve">et al.</w:t>
      </w:r>
      <w:r>
        <w:t xml:space="preserve"> </w:t>
      </w:r>
      <w:hyperlink r:id="rId111">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2"/>
    <w:bookmarkStart w:id="114" w:name="ref-peng2024determination"/>
    <w:p>
      <w:pPr>
        <w:pStyle w:val="Bibliography"/>
      </w:pPr>
      <w:r>
        <w:t xml:space="preserve">18.</w:t>
      </w:r>
      <w:r>
        <w:t xml:space="preserve"> </w:t>
      </w:r>
      <w:r>
        <w:t xml:space="preserve">	</w:t>
      </w:r>
      <w:r>
        <w:t xml:space="preserve">Peng, X. L.</w:t>
      </w:r>
      <w:r>
        <w:t xml:space="preserve"> </w:t>
      </w:r>
      <w:r>
        <w:rPr>
          <w:iCs/>
          <w:i/>
        </w:rPr>
        <w:t xml:space="preserve">et al.</w:t>
      </w:r>
      <w:r>
        <w:t xml:space="preserve"> </w:t>
      </w:r>
      <w:hyperlink r:id="rId113">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4"/>
    <w:bookmarkStart w:id="116" w:name="ref-peng2019novo"/>
    <w:p>
      <w:pPr>
        <w:pStyle w:val="Bibliography"/>
      </w:pPr>
      <w:r>
        <w:t xml:space="preserve">19.</w:t>
      </w:r>
      <w:r>
        <w:t xml:space="preserve"> </w:t>
      </w:r>
      <w:r>
        <w:t xml:space="preserve">	</w:t>
      </w:r>
      <w:r>
        <w:t xml:space="preserve">Peng, X. L., Moffitt, R. A., Torphy, R. J., Volmar, K. E. &amp; Yeh, J. J.</w:t>
      </w:r>
      <w:r>
        <w:t xml:space="preserve"> </w:t>
      </w:r>
      <w:hyperlink r:id="rId115">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16"/>
    <w:bookmarkStart w:id="118" w:name="ref-collisson2011subtypes"/>
    <w:p>
      <w:pPr>
        <w:pStyle w:val="Bibliography"/>
      </w:pPr>
      <w:r>
        <w:t xml:space="preserve">20.</w:t>
      </w:r>
      <w:r>
        <w:t xml:space="preserve"> </w:t>
      </w:r>
      <w:r>
        <w:t xml:space="preserve">	</w:t>
      </w:r>
      <w:r>
        <w:t xml:space="preserve">Collisson, E. A.</w:t>
      </w:r>
      <w:r>
        <w:t xml:space="preserve"> </w:t>
      </w:r>
      <w:r>
        <w:rPr>
          <w:iCs/>
          <w:i/>
        </w:rPr>
        <w:t xml:space="preserve">et al.</w:t>
      </w:r>
      <w:r>
        <w:t xml:space="preserve"> </w:t>
      </w:r>
      <w:hyperlink r:id="rId117">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18"/>
    <w:bookmarkStart w:id="120" w:name="ref-chansengyue2020transcription"/>
    <w:p>
      <w:pPr>
        <w:pStyle w:val="Bibliography"/>
      </w:pPr>
      <w:r>
        <w:t xml:space="preserve">21.</w:t>
      </w:r>
      <w:r>
        <w:t xml:space="preserve"> </w:t>
      </w:r>
      <w:r>
        <w:t xml:space="preserve">	</w:t>
      </w:r>
      <w:r>
        <w:t xml:space="preserve">Chan-Seng-Yue, M.</w:t>
      </w:r>
      <w:r>
        <w:t xml:space="preserve"> </w:t>
      </w:r>
      <w:r>
        <w:rPr>
          <w:iCs/>
          <w:i/>
        </w:rPr>
        <w:t xml:space="preserve">et al.</w:t>
      </w:r>
      <w:r>
        <w:t xml:space="preserve"> </w:t>
      </w:r>
      <w:hyperlink r:id="rId119">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0"/>
    <w:bookmarkStart w:id="122" w:name="ref-Maurer2019"/>
    <w:p>
      <w:pPr>
        <w:pStyle w:val="Bibliography"/>
      </w:pPr>
      <w:r>
        <w:t xml:space="preserve">22.</w:t>
      </w:r>
      <w:r>
        <w:t xml:space="preserve"> </w:t>
      </w:r>
      <w:r>
        <w:t xml:space="preserve">	</w:t>
      </w:r>
      <w:r>
        <w:t xml:space="preserve">Maurer, C.</w:t>
      </w:r>
      <w:r>
        <w:t xml:space="preserve"> </w:t>
      </w:r>
      <w:r>
        <w:rPr>
          <w:iCs/>
          <w:i/>
        </w:rPr>
        <w:t xml:space="preserve">et al.</w:t>
      </w:r>
      <w:r>
        <w:t xml:space="preserve"> </w:t>
      </w:r>
      <w:hyperlink r:id="rId121">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2"/>
    <w:bookmarkStart w:id="124" w:name="ref-elyada2019cross"/>
    <w:p>
      <w:pPr>
        <w:pStyle w:val="Bibliography"/>
      </w:pPr>
      <w:r>
        <w:t xml:space="preserve">23.</w:t>
      </w:r>
      <w:r>
        <w:t xml:space="preserve"> </w:t>
      </w:r>
      <w:r>
        <w:t xml:space="preserve">	</w:t>
      </w:r>
      <w:r>
        <w:t xml:space="preserve">Elyada, E.</w:t>
      </w:r>
      <w:r>
        <w:t xml:space="preserve"> </w:t>
      </w:r>
      <w:r>
        <w:rPr>
          <w:iCs/>
          <w:i/>
        </w:rPr>
        <w:t xml:space="preserve">et al.</w:t>
      </w:r>
      <w:r>
        <w:t xml:space="preserve"> </w:t>
      </w:r>
      <w:hyperlink r:id="rId123">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4"/>
    <w:bookmarkStart w:id="126" w:name="ref-leary2023s"/>
    <w:p>
      <w:pPr>
        <w:pStyle w:val="Bibliography"/>
      </w:pPr>
      <w:r>
        <w:t xml:space="preserve">24.</w:t>
      </w:r>
      <w:r>
        <w:t xml:space="preserve"> </w:t>
      </w:r>
      <w:r>
        <w:t xml:space="preserve">	</w:t>
      </w:r>
      <w:r>
        <w:t xml:space="preserve">Leary, J. R.</w:t>
      </w:r>
      <w:r>
        <w:t xml:space="preserve"> </w:t>
      </w:r>
      <w:r>
        <w:rPr>
          <w:iCs/>
          <w:i/>
        </w:rPr>
        <w:t xml:space="preserve">et al.</w:t>
      </w:r>
      <w:r>
        <w:t xml:space="preserve"> </w:t>
      </w:r>
      <w:hyperlink r:id="rId125">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6"/>
    <w:bookmarkStart w:id="127" w:name="ref-shapley1953value"/>
    <w:p>
      <w:pPr>
        <w:pStyle w:val="Bibliography"/>
      </w:pPr>
      <w:r>
        <w:t xml:space="preserve">25.</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7"/>
    <w:bookmarkStart w:id="129" w:name="ref-uno2011cstatistics"/>
    <w:p>
      <w:pPr>
        <w:pStyle w:val="Bibliography"/>
      </w:pPr>
      <w:r>
        <w:t xml:space="preserve">26.</w:t>
      </w:r>
      <w:r>
        <w:t xml:space="preserve"> </w:t>
      </w:r>
      <w:r>
        <w:t xml:space="preserve">	</w:t>
      </w:r>
      <w:r>
        <w:t xml:space="preserve">Uno, H., Cai, T., Pencina, M. J., D’Agostino, R. B. &amp; Wei, L. J.</w:t>
      </w:r>
      <w:r>
        <w:t xml:space="preserve"> </w:t>
      </w:r>
      <w:hyperlink r:id="rId128">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29"/>
    <w:bookmarkStart w:id="131" w:name="ref-antolini2005timedependent"/>
    <w:p>
      <w:pPr>
        <w:pStyle w:val="Bibliography"/>
      </w:pPr>
      <w:r>
        <w:t xml:space="preserve">27.</w:t>
      </w:r>
      <w:r>
        <w:t xml:space="preserve"> </w:t>
      </w:r>
      <w:r>
        <w:t xml:space="preserve">	</w:t>
      </w:r>
      <w:r>
        <w:t xml:space="preserve">Antolini, L., Boracchi, P. &amp; Biganzoli, E.</w:t>
      </w:r>
      <w:r>
        <w:t xml:space="preserve"> </w:t>
      </w:r>
      <w:hyperlink r:id="rId130">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1"/>
    <w:bookmarkStart w:id="133" w:name="ref-blanche2019cindex"/>
    <w:p>
      <w:pPr>
        <w:pStyle w:val="Bibliography"/>
      </w:pPr>
      <w:r>
        <w:t xml:space="preserve">28.</w:t>
      </w:r>
      <w:r>
        <w:t xml:space="preserve"> </w:t>
      </w:r>
      <w:r>
        <w:t xml:space="preserve">	</w:t>
      </w:r>
      <w:r>
        <w:t xml:space="preserve">Blanche, P., Kattan, M. W. &amp; Gerds, T. A.</w:t>
      </w:r>
      <w:r>
        <w:t xml:space="preserve"> </w:t>
      </w:r>
      <w:hyperlink r:id="rId132">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44" Target="media/rId44.png" /><Relationship Type="http://schemas.openxmlformats.org/officeDocument/2006/relationships/image" Id="rId30" Target="media/rId30.png" /><Relationship Type="http://schemas.openxmlformats.org/officeDocument/2006/relationships/image" Id="rId68" Target="media/rId68.png" /><Relationship Type="http://schemas.openxmlformats.org/officeDocument/2006/relationships/hyperlink" Id="rId130" Target="https://doi.org/10.1002/sim.2427" TargetMode="External" /><Relationship Type="http://schemas.openxmlformats.org/officeDocument/2006/relationships/hyperlink" Id="rId128" Target="https://doi.org/10.1002/sim.4154" TargetMode="External" /><Relationship Type="http://schemas.openxmlformats.org/officeDocument/2006/relationships/hyperlink" Id="rId99" Target="https://doi.org/10.1016/j.ccell.2017.07.007" TargetMode="External" /><Relationship Type="http://schemas.openxmlformats.org/officeDocument/2006/relationships/hyperlink" Id="rId101" Target="https://doi.org/10.1016/j.cell.2021.08.023" TargetMode="External" /><Relationship Type="http://schemas.openxmlformats.org/officeDocument/2006/relationships/hyperlink" Id="rId113" Target="https://doi.org/10.1016/j.xcrm.2026.102611" TargetMode="External" /><Relationship Type="http://schemas.openxmlformats.org/officeDocument/2006/relationships/hyperlink" Id="rId107" Target="https://doi.org/10.1038/nature16965" TargetMode="External" /><Relationship Type="http://schemas.openxmlformats.org/officeDocument/2006/relationships/hyperlink" Id="rId105" Target="https://doi.org/10.1038/ng.3398" TargetMode="External" /><Relationship Type="http://schemas.openxmlformats.org/officeDocument/2006/relationships/hyperlink" Id="rId117" Target="https://doi.org/10.1038/nm.2344" TargetMode="External" /><Relationship Type="http://schemas.openxmlformats.org/officeDocument/2006/relationships/hyperlink" Id="rId115" Target="https://doi.org/10.1038/s41467-019-12517-7" TargetMode="External" /><Relationship Type="http://schemas.openxmlformats.org/officeDocument/2006/relationships/hyperlink" Id="rId119" Target="https://doi.org/10.1038/s41588-019-0566-9" TargetMode="External" /><Relationship Type="http://schemas.openxmlformats.org/officeDocument/2006/relationships/hyperlink" Id="rId103" Target="https://doi.org/10.1038/s41598-019-56826-9" TargetMode="External" /><Relationship Type="http://schemas.openxmlformats.org/officeDocument/2006/relationships/hyperlink" Id="rId109" Target="https://doi.org/10.1053/j.gastro.2018.08.033" TargetMode="External" /><Relationship Type="http://schemas.openxmlformats.org/officeDocument/2006/relationships/hyperlink" Id="rId92" Target="https://doi.org/10.1073/pnas.0308531101" TargetMode="External" /><Relationship Type="http://schemas.openxmlformats.org/officeDocument/2006/relationships/hyperlink" Id="rId125" Target="https://doi.org/10.1093/bioinformatics/btad449" TargetMode="External" /><Relationship Type="http://schemas.openxmlformats.org/officeDocument/2006/relationships/hyperlink" Id="rId132" Target="https://doi.org/10.1093/biostatistics/kxy006" TargetMode="External" /><Relationship Type="http://schemas.openxmlformats.org/officeDocument/2006/relationships/hyperlink" Id="rId84" Target="https://doi.org/10.1109/TPAMI.2006.60" TargetMode="External" /><Relationship Type="http://schemas.openxmlformats.org/officeDocument/2006/relationships/hyperlink" Id="rId121" Target="https://doi.org/10.1136/gutjnl-2018-317706" TargetMode="External" /><Relationship Type="http://schemas.openxmlformats.org/officeDocument/2006/relationships/hyperlink" Id="rId89" Target="https://doi.org/10.1155/2008/764206" TargetMode="External" /><Relationship Type="http://schemas.openxmlformats.org/officeDocument/2006/relationships/hyperlink" Id="rId111" Target="https://doi.org/10.1158/1078-0432.CCR-19-1467" TargetMode="External" /><Relationship Type="http://schemas.openxmlformats.org/officeDocument/2006/relationships/hyperlink" Id="rId123" Target="https://doi.org/10.1158/2159-8290.CD-19-0094" TargetMode="External" /><Relationship Type="http://schemas.openxmlformats.org/officeDocument/2006/relationships/hyperlink" Id="rId96" Target="https://doi.org/10.1162/NECO_a_00256" TargetMode="External" /><Relationship Type="http://schemas.openxmlformats.org/officeDocument/2006/relationships/hyperlink" Id="rId86" Target="https://doi.org/10.18637/jss.v039.i05" TargetMode="External" /><Relationship Type="http://schemas.openxmlformats.org/officeDocument/2006/relationships/hyperlink" Id="rId94"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0" Target="https://doi.org/10.1002/sim.2427" TargetMode="External" /><Relationship Type="http://schemas.openxmlformats.org/officeDocument/2006/relationships/hyperlink" Id="rId128" Target="https://doi.org/10.1002/sim.4154" TargetMode="External" /><Relationship Type="http://schemas.openxmlformats.org/officeDocument/2006/relationships/hyperlink" Id="rId99" Target="https://doi.org/10.1016/j.ccell.2017.07.007" TargetMode="External" /><Relationship Type="http://schemas.openxmlformats.org/officeDocument/2006/relationships/hyperlink" Id="rId101" Target="https://doi.org/10.1016/j.cell.2021.08.023" TargetMode="External" /><Relationship Type="http://schemas.openxmlformats.org/officeDocument/2006/relationships/hyperlink" Id="rId113" Target="https://doi.org/10.1016/j.xcrm.2026.102611" TargetMode="External" /><Relationship Type="http://schemas.openxmlformats.org/officeDocument/2006/relationships/hyperlink" Id="rId107" Target="https://doi.org/10.1038/nature16965" TargetMode="External" /><Relationship Type="http://schemas.openxmlformats.org/officeDocument/2006/relationships/hyperlink" Id="rId105" Target="https://doi.org/10.1038/ng.3398" TargetMode="External" /><Relationship Type="http://schemas.openxmlformats.org/officeDocument/2006/relationships/hyperlink" Id="rId117" Target="https://doi.org/10.1038/nm.2344" TargetMode="External" /><Relationship Type="http://schemas.openxmlformats.org/officeDocument/2006/relationships/hyperlink" Id="rId115" Target="https://doi.org/10.1038/s41467-019-12517-7" TargetMode="External" /><Relationship Type="http://schemas.openxmlformats.org/officeDocument/2006/relationships/hyperlink" Id="rId119" Target="https://doi.org/10.1038/s41588-019-0566-9" TargetMode="External" /><Relationship Type="http://schemas.openxmlformats.org/officeDocument/2006/relationships/hyperlink" Id="rId103" Target="https://doi.org/10.1038/s41598-019-56826-9" TargetMode="External" /><Relationship Type="http://schemas.openxmlformats.org/officeDocument/2006/relationships/hyperlink" Id="rId109" Target="https://doi.org/10.1053/j.gastro.2018.08.033" TargetMode="External" /><Relationship Type="http://schemas.openxmlformats.org/officeDocument/2006/relationships/hyperlink" Id="rId92" Target="https://doi.org/10.1073/pnas.0308531101" TargetMode="External" /><Relationship Type="http://schemas.openxmlformats.org/officeDocument/2006/relationships/hyperlink" Id="rId125" Target="https://doi.org/10.1093/bioinformatics/btad449" TargetMode="External" /><Relationship Type="http://schemas.openxmlformats.org/officeDocument/2006/relationships/hyperlink" Id="rId132" Target="https://doi.org/10.1093/biostatistics/kxy006" TargetMode="External" /><Relationship Type="http://schemas.openxmlformats.org/officeDocument/2006/relationships/hyperlink" Id="rId84" Target="https://doi.org/10.1109/TPAMI.2006.60" TargetMode="External" /><Relationship Type="http://schemas.openxmlformats.org/officeDocument/2006/relationships/hyperlink" Id="rId121" Target="https://doi.org/10.1136/gutjnl-2018-317706" TargetMode="External" /><Relationship Type="http://schemas.openxmlformats.org/officeDocument/2006/relationships/hyperlink" Id="rId89" Target="https://doi.org/10.1155/2008/764206" TargetMode="External" /><Relationship Type="http://schemas.openxmlformats.org/officeDocument/2006/relationships/hyperlink" Id="rId111" Target="https://doi.org/10.1158/1078-0432.CCR-19-1467" TargetMode="External" /><Relationship Type="http://schemas.openxmlformats.org/officeDocument/2006/relationships/hyperlink" Id="rId123" Target="https://doi.org/10.1158/2159-8290.CD-19-0094" TargetMode="External" /><Relationship Type="http://schemas.openxmlformats.org/officeDocument/2006/relationships/hyperlink" Id="rId96" Target="https://doi.org/10.1162/NECO_a_00256" TargetMode="External" /><Relationship Type="http://schemas.openxmlformats.org/officeDocument/2006/relationships/hyperlink" Id="rId86" Target="https://doi.org/10.18637/jss.v039.i05" TargetMode="External" /><Relationship Type="http://schemas.openxmlformats.org/officeDocument/2006/relationships/hyperlink" Id="rId94"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2026-09-08T23:06:46Z</dcterms:created>
  <dcterms:modified xsi:type="dcterms:W3CDTF">2026-09-08T23:06:46Z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a survival-supervised matrix factorization framework, identifies a replicable tumor–stroma prognostic architecture in pancreatic cancer</vt:lpwstr>
  </property>
</Properties>
</file>