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4.png" ContentType="image/png"/>
  <Override PartName="/word/media/rId28.png" ContentType="image/png"/>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stromal,</w:t>
      </w:r>
      <w:r>
        <w:t xml:space="preserve"> </w:t>
      </w:r>
      <w:r>
        <w:t xml:space="preserve">and</w:t>
      </w:r>
      <w:r>
        <w:t xml:space="preserve"> </w:t>
      </w:r>
      <w:r>
        <w:t xml:space="preserve">other</w:t>
      </w:r>
      <w:r>
        <w:t xml:space="preserve"> </w:t>
      </w:r>
      <w:r>
        <w:t xml:space="preserve">microenvironmental</w:t>
      </w:r>
      <w:r>
        <w:t xml:space="preserve"> </w:t>
      </w:r>
      <w:r>
        <w:t xml:space="preserve">biology.</w:t>
      </w:r>
      <w:r>
        <w:t xml:space="preserve"> </w:t>
      </w:r>
      <w:r>
        <w:t xml:space="preserve">Expression-driven</w:t>
      </w:r>
      <w:r>
        <w:t xml:space="preserve"> </w:t>
      </w:r>
      <w:r>
        <w:t xml:space="preserve">discovery</w:t>
      </w:r>
      <w:r>
        <w:t xml:space="preserve"> </w:t>
      </w:r>
      <w:r>
        <w:t xml:space="preserve">can</w:t>
      </w:r>
      <w:r>
        <w:t xml:space="preserve"> </w:t>
      </w:r>
      <w:r>
        <w:t xml:space="preserve">overlook</w:t>
      </w:r>
      <w:r>
        <w:t xml:space="preserve"> </w:t>
      </w:r>
      <w:r>
        <w:t xml:space="preserve">prognostically</w:t>
      </w:r>
      <w:r>
        <w:t xml:space="preserve"> </w:t>
      </w:r>
      <w:r>
        <w:t xml:space="preserve">relevant</w:t>
      </w:r>
      <w:r>
        <w:t xml:space="preserve"> </w:t>
      </w:r>
      <w:r>
        <w:t xml:space="preserve">programs</w:t>
      </w:r>
      <w:r>
        <w:t xml:space="preserve"> </w:t>
      </w:r>
      <w:r>
        <w:t xml:space="preserve">that</w:t>
      </w:r>
      <w:r>
        <w:t xml:space="preserve"> </w:t>
      </w:r>
      <w:r>
        <w:t xml:space="preserve">contribute</w:t>
      </w:r>
      <w:r>
        <w:t xml:space="preserve"> </w:t>
      </w:r>
      <w:r>
        <w:t xml:space="preserve">relatively</w:t>
      </w:r>
      <w:r>
        <w:t xml:space="preserve"> </w:t>
      </w:r>
      <w:r>
        <w:t xml:space="preserve">little</w:t>
      </w:r>
      <w:r>
        <w:t xml:space="preserve"> </w:t>
      </w:r>
      <w:r>
        <w:t xml:space="preserve">transcriptomic</w:t>
      </w:r>
      <w:r>
        <w:t xml:space="preserve"> </w:t>
      </w:r>
      <w:r>
        <w:t xml:space="preserve">variation.</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patient</w:t>
      </w:r>
      <w:r>
        <w:t xml:space="preserve"> </w:t>
      </w:r>
      <w:r>
        <w:t xml:space="preserve">outcomes</w:t>
      </w:r>
      <w:r>
        <w:t xml:space="preserve"> </w:t>
      </w:r>
      <w:r>
        <w:t xml:space="preserve">into</w:t>
      </w:r>
      <w:r>
        <w:t xml:space="preserve"> </w:t>
      </w:r>
      <w:r>
        <w:t xml:space="preserve">gene-program</w:t>
      </w:r>
      <w:r>
        <w:t xml:space="preserve"> </w:t>
      </w:r>
      <w:r>
        <w:t xml:space="preserve">discovery</w:t>
      </w:r>
      <w:r>
        <w:t xml:space="preserve"> </w:t>
      </w:r>
      <w:r>
        <w:t xml:space="preserve">and</w:t>
      </w:r>
      <w:r>
        <w:t xml:space="preserve"> </w:t>
      </w:r>
      <w:r>
        <w:t xml:space="preserve">freezes</w:t>
      </w:r>
      <w:r>
        <w:t xml:space="preserve"> </w:t>
      </w:r>
      <w:r>
        <w:t xml:space="preserve">gene</w:t>
      </w:r>
      <w:r>
        <w:t xml:space="preserve"> </w:t>
      </w:r>
      <w:r>
        <w:t xml:space="preserve">weights</w:t>
      </w:r>
      <w:r>
        <w:t xml:space="preserve"> </w:t>
      </w:r>
      <w:r>
        <w:t xml:space="preserve">for</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program</w:t>
      </w:r>
      <w:r>
        <w:t xml:space="preserve"> </w:t>
      </w:r>
      <w:r>
        <w:t xml:space="preserve">combined</w:t>
      </w:r>
      <w:r>
        <w:t xml:space="preserve"> </w:t>
      </w:r>
      <w:r>
        <w:t xml:space="preserve">classical-tumor</w:t>
      </w:r>
      <w:r>
        <w:t xml:space="preserve"> </w:t>
      </w:r>
      <w:r>
        <w:t xml:space="preserve">and</w:t>
      </w:r>
      <w:r>
        <w:t xml:space="preserve"> </w:t>
      </w:r>
      <w:r>
        <w:t xml:space="preserve">restCAF-like</w:t>
      </w:r>
      <w:r>
        <w:t xml:space="preserve"> </w:t>
      </w:r>
      <w:r>
        <w:t xml:space="preserve">stromal</w:t>
      </w:r>
      <w:r>
        <w:t xml:space="preserve"> </w:t>
      </w:r>
      <w:r>
        <w:t xml:space="preserve">features.</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the</w:t>
      </w:r>
      <w:r>
        <w:t xml:space="preserve"> </w:t>
      </w:r>
      <w:r>
        <w:t xml:space="preserve">frozen</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before</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this</w:t>
      </w:r>
      <w:r>
        <w:t xml:space="preserve"> </w:t>
      </w:r>
      <w:r>
        <w:t xml:space="preserve">program;</w:t>
      </w:r>
      <w:r>
        <w:t xml:space="preserve"> </w:t>
      </w:r>
      <w:r>
        <w:t xml:space="preserve">a</w:t>
      </w:r>
      <w:r>
        <w:t xml:space="preserve"> </w:t>
      </w:r>
      <w:r>
        <w:t xml:space="preserve">rank-optimized</w:t>
      </w:r>
      <w:r>
        <w:t xml:space="preserve"> </w:t>
      </w:r>
      <w:r>
        <w:t xml:space="preserve">unsupervised</w:t>
      </w:r>
      <w:r>
        <w:t xml:space="preserve"> </w:t>
      </w:r>
      <w:r>
        <w:t xml:space="preserve">control</w:t>
      </w:r>
      <w:r>
        <w:t xml:space="preserve"> </w:t>
      </w:r>
      <w:r>
        <w:t xml:space="preserve">recovered</w:t>
      </w:r>
      <w:r>
        <w:t xml:space="preserve"> </w:t>
      </w:r>
      <w:r>
        <w:t xml:space="preserve">comparable</w:t>
      </w:r>
      <w:r>
        <w:t xml:space="preserve"> </w:t>
      </w:r>
      <w:r>
        <w:t xml:space="preserve">prognostic</w:t>
      </w:r>
      <w:r>
        <w:t xml:space="preserve"> </w:t>
      </w:r>
      <w:r>
        <w:t xml:space="preserve">information</w:t>
      </w:r>
      <w:r>
        <w:t xml:space="preserve"> </w:t>
      </w:r>
      <w:r>
        <w:t xml:space="preserve">across</w:t>
      </w:r>
      <w:r>
        <w:t xml:space="preserve"> </w:t>
      </w:r>
      <w:r>
        <w:t xml:space="preserve">seven</w:t>
      </w:r>
      <w:r>
        <w:t xml:space="preserve"> </w:t>
      </w:r>
      <w:r>
        <w:t xml:space="preserve">factors.</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underlying</w:t>
      </w:r>
      <w:r>
        <w:t xml:space="preserve"> </w:t>
      </w:r>
      <w:r>
        <w:t xml:space="preserve">structure,</w:t>
      </w:r>
      <w:r>
        <w:t xml:space="preserve"> </w:t>
      </w:r>
      <w:r>
        <w:t xml:space="preserve">DeSurv</w:t>
      </w:r>
      <w:r>
        <w:t xml:space="preserve"> </w:t>
      </w:r>
      <w:r>
        <w:t xml:space="preserve">recovered</w:t>
      </w:r>
      <w:r>
        <w:t xml:space="preserve"> </w:t>
      </w:r>
      <w:r>
        <w:t xml:space="preserve">prognostic</w:t>
      </w:r>
      <w:r>
        <w:t xml:space="preserve"> </w:t>
      </w:r>
      <w:r>
        <w:t xml:space="preserve">genes</w:t>
      </w:r>
      <w:r>
        <w:t xml:space="preserve"> </w:t>
      </w:r>
      <w:r>
        <w:t xml:space="preserve">more</w:t>
      </w:r>
      <w:r>
        <w:t xml:space="preserve"> </w:t>
      </w:r>
      <w:r>
        <w:t xml:space="preserve">accurately</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expression</w:t>
      </w:r>
      <w:r>
        <w:t xml:space="preserve"> </w:t>
      </w:r>
      <w:r>
        <w:t xml:space="preserve">variation.</w:t>
      </w:r>
      <w:r>
        <w:t xml:space="preserve"> </w:t>
      </w:r>
      <w:r>
        <w:t xml:space="preserve">Survival</w:t>
      </w:r>
      <w:r>
        <w:t xml:space="preserve"> </w:t>
      </w:r>
      <w:r>
        <w:t xml:space="preserve">supervision</w:t>
      </w:r>
      <w:r>
        <w:t xml:space="preserve"> </w:t>
      </w:r>
      <w:r>
        <w:t xml:space="preserve">therefore</w:t>
      </w:r>
      <w:r>
        <w:t xml:space="preserve"> </w:t>
      </w:r>
      <w:r>
        <w:t xml:space="preserve">offers</w:t>
      </w:r>
      <w:r>
        <w:t xml:space="preserve"> </w:t>
      </w:r>
      <w:r>
        <w:t xml:space="preserve">a</w:t>
      </w:r>
      <w:r>
        <w:t xml:space="preserve"> </w:t>
      </w:r>
      <w:r>
        <w:t xml:space="preserve">route</w:t>
      </w:r>
      <w:r>
        <w:t xml:space="preserve"> </w:t>
      </w:r>
      <w:r>
        <w:t xml:space="preserve">to</w:t>
      </w:r>
      <w:r>
        <w:t xml:space="preserve"> </w:t>
      </w:r>
      <w:r>
        <w:t xml:space="preserve">prognostically</w:t>
      </w:r>
      <w:r>
        <w:t xml:space="preserve"> </w:t>
      </w:r>
      <w:r>
        <w:t xml:space="preserve">relevant,</w:t>
      </w:r>
      <w:r>
        <w:t xml:space="preserve"> </w:t>
      </w:r>
      <w:r>
        <w:t xml:space="preserve">interpretable</w:t>
      </w:r>
      <w:r>
        <w:t xml:space="preserve"> </w:t>
      </w:r>
      <w:r>
        <w:t xml:space="preserve">programs.</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Its clinical heterogeneity reflects variation in both malignant cells and the surrounding microenvironment.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from single-cell-informed analyses,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Expression-defined programs can be evaluated against survival after discovery</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 Whether allowing survival to shape program definitions can identify a tumor–stroma program that provides prognostic information beyond established classifications remains unclear. Such programs could provide candidates for prognostic assays and trial stratification, while identifying genes and biological processes for further investigation.</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defined as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these approaches have supported molecular subtype discovery and subsequent single-sample classification</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tumor- and stroma-specific expression</w:t>
      </w:r>
      <w:hyperlink w:anchor="ref-moffitt2015virtual">
        <w:r>
          <w:rPr>
            <w:rStyle w:val="Hyperlink"/>
            <w:vertAlign w:val="superscript"/>
          </w:rPr>
          <w:t xml:space="preserve">3</w:t>
        </w:r>
      </w:hyperlink>
      <w:r>
        <w:t xml:space="preserve">, and compartment-specific tumor–stroma characterization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When predefined signatures are applied unchanged to a bulk cohort, survival can be used to assess their prognostic relevance but does not alter their gene definitions during that application. The challenge is therefore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by minimizing reconstruction error, the mismatch between the measured expression matrix and its approximation rebuilt from the programs. Such reconstruction-driven criteria favor patterns that capture prominent expression variation regardless of their relevance to patient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w:t>
      </w:r>
    </w:p>
    <w:p>
      <w:pPr>
        <w:pStyle w:val="BodyText"/>
      </w:pPr>
      <w:r>
        <w:t xml:space="preserve">Reconstruction alone also does not uniquely identify the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proposed unsupervised PDAC subtype taxonomies</w:t>
      </w:r>
      <w:hyperlink w:anchor="ref-lautizi2022pancreatic">
        <w:r>
          <w:rPr>
            <w:rStyle w:val="Hyperlink"/>
            <w:vertAlign w:val="superscript"/>
          </w:rPr>
          <w:t xml:space="preserve">22</w:t>
        </w:r>
      </w:hyperlink>
      <w:r>
        <w:t xml:space="preserve">. The basal-like/classical dichotomy developed over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Survival information offers an additional criterion for shaping discovery, although it does not by itself resolve this non-uniqueness.</w:t>
      </w:r>
    </w:p>
    <w:p>
      <w:pPr>
        <w:pStyle w:val="BodyText"/>
      </w:pPr>
      <w:r>
        <w:t xml:space="preserve">Survival-supervised models such as penalized Cox regression and supervised principal components identify outcome-associated expression patterns, but do not explicitly separate those patterns into malignant and microenvironmental programs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NMF at matched and higher rank (the number of programs the factorization extracts) and with conventional survival models such as penalized Cox regression and supervised principal components (Supplementary Table [tab:architecture]). We then evaluate the clinical relevance of the frozen programs in independent cohorts and ask whether they retain prognostic information beyond established PDAC classifiers. Simulations in which the true underlying (latent) programs are known characterize the conditions under which survival supervision improves recovery of prognostic structure.</w:t>
      </w:r>
    </w:p>
    <w:bookmarkStart w:id="42" w:name="results"/>
    <w:p>
      <w:pPr>
        <w:pStyle w:val="Heading1"/>
      </w:pPr>
      <w:r>
        <w:t xml:space="preserve">Results</w:t>
      </w:r>
    </w:p>
    <w:bookmarkStart w:id="23" w:name="X20ee7d05d1e1569da8d1832bf95c1184a6e3459"/>
    <w:p>
      <w:pPr>
        <w:pStyle w:val="Heading2"/>
      </w:pPr>
      <w:r>
        <w:t xml:space="preserve">DeSurv directly incorporates survival information into gene program discovery</w:t>
      </w:r>
    </w:p>
    <w:p>
      <w:pPr>
        <w:pStyle w:val="FirstParagraph"/>
      </w:pPr>
      <w:r>
        <w:t xml:space="preserve">DeSurv learns gene programs by balancing reconstruction of the tumor transcriptome with association to patient survival. A supervision parameter</w:t>
      </w:r>
      <w:r>
        <w:t xml:space="preserve"> </w:t>
      </w:r>
      <m:oMath>
        <m:r>
          <m:t>α</m:t>
        </m:r>
      </m:oMath>
      <w:r>
        <w:t xml:space="preserve"> </w:t>
      </w:r>
      <w:r>
        <w:t xml:space="preserve">controls the strength of survival supervision, with</w:t>
      </w:r>
      <w:r>
        <w:t xml:space="preserve"> </w:t>
      </w:r>
      <m:oMath>
        <m:r>
          <m:t>α</m:t>
        </m:r>
        <m:r>
          <m:rPr>
            <m:sty m:val="p"/>
          </m:rPr>
          <m:t>=</m:t>
        </m:r>
        <m:r>
          <m:t>0</m:t>
        </m:r>
      </m:oMath>
      <w:r>
        <w:t xml:space="preserve"> </w:t>
      </w:r>
      <w:r>
        <w:t xml:space="preserve">leaving a purely reconstruction-driven factorization, and the rank</w:t>
      </w:r>
      <w:r>
        <w:t xml:space="preserve"> </w:t>
      </w:r>
      <m:oMath>
        <m:r>
          <m:t>k</m:t>
        </m:r>
      </m:oMath>
      <w:r>
        <w:t xml:space="preserve"> </w:t>
      </w:r>
      <w:r>
        <w:t xml:space="preserve">sets how many programs are extracted (Fig. [fig:schema]a; Methods). After training, the gene weights and the Cox coefficients are fixed (Methods).</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ranks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observed configuration, which had rank</w:t>
      </w:r>
      <w:r>
        <w:t xml:space="preserve"> </w:t>
      </w:r>
      <m:oMath>
        <m:r>
          <m:t>k</m:t>
        </m:r>
        <m:r>
          <m:rPr>
            <m:sty m:val="p"/>
          </m:rPr>
          <m:t>=</m:t>
        </m:r>
        <m:r>
          <m:t>7</m:t>
        </m:r>
      </m:oMath>
      <w:r>
        <w:t xml:space="preserve"> </w:t>
      </w:r>
      <w:r>
        <w:t xml:space="preserve">(Fig. [fig:schema]b; Methods; Supplementary Information, Bayesian Optimization). The reported combination was therefore not itself evaluated during the Bayesian-optimization search. In contrast, standard unsupervised rank criteria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gave conflicting rank choices in the same data (Supplementary Fig. [fig:fig-nmf-diagnostics]). All model and hyperparameter selection was completed within the training cohorts.</w:t>
      </w:r>
    </w:p>
    <w:p>
      <w:pPr>
        <w:pStyle w:val="BodyText"/>
      </w:pPr>
      <w:r>
        <w:t xml:space="preserve">The final fit was initialized from a consensus of 100 random restarts (Methods). Individual restarts reached similar training concordance (median C-index 0.70, range 0.68–0.73) yet dispersed gene sets (median pairwise Jaccard of top-ranked genes 0.13 against 0.07 by chance), so the consensus step, not any single restart, defines the reported programs. Consensus fits from each half of 8 split-half partitions of that restart pool agreed closely with the reported basis (median gene-loading correlations 0.97–0.99, median top-ranked-gene Jaccard 0.73–0.88; Supplementary Information, Stability of the recovered gene programs). These partitions assess sensitivity to restart-pool composition within the same training data; they do not independently repeat the full discovery procedure.</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observed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a815650fb79fa4af0033772bb01e5f5618d22bf"/>
    <w:p>
      <w:pPr>
        <w:pStyle w:val="Heading2"/>
      </w:pPr>
      <w:r>
        <w:t xml:space="preserve">Survival supervision changes which gene programs are recovered</w:t>
      </w:r>
    </w:p>
    <w:p>
      <w:pPr>
        <w:pStyle w:val="FirstParagraph"/>
      </w:pPr>
      <w:r>
        <w:t xml:space="preserve">To compare the recovered gene programs at the same rank, we fitted DeSurv and standard Lee multiplicative NMF with</w:t>
      </w:r>
      <w:r>
        <w:t xml:space="preserve"> </w:t>
      </w:r>
      <m:oMath>
        <m:r>
          <m:t>k</m:t>
        </m:r>
        <m:r>
          <m:rPr>
            <m:sty m:val="p"/>
          </m:rPr>
          <m:t>=</m:t>
        </m:r>
        <m:r>
          <m:t>3</m:t>
        </m:r>
      </m:oMath>
      <w:r>
        <w:t xml:space="preserve">.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In the COMPASS trial cohort, D1 scores correlated with GATA6 RNA in situ hybridization, independently supporting the classical tumor component of D1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the unsupervised comparator, recovered a different set of programs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Both methods recovered the activated-stroma and proCAF-like reference programs but differed at the tumor-restraining end: among the displayed top-ranked genes, the restCAF and iCAF reference programs corresponded to a DeSurv factor but to no standard NMF factor (Fig. [fig:pdac]a,b). These are bulk gene-program correspondences, not identifications of CAF cell states (Supplementary Information, Stromal resolution).</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factors. However, in post-fit unpenalized Cox models of the three training-cohort scores projected over all analyzed genes, omitting D1 and refitting on the remaining scores lowered the maximized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this conditional survival contribution. In the matched-rank standard NMF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These conditional, nonadditive increments describe associations in the training data used for discovery and do not independently validate prognostic relevance.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gene-loading Spearman correlation over all analyzed genes; Fig. [fig:pdac]d). Consistently, D1’s gene weights were poorly reconstructed from the three NMF factors together (</w:t>
      </w:r>
      <m:oMath>
        <m:sSup>
          <m:e>
            <m:r>
              <m:t>R</m:t>
            </m:r>
          </m:e>
          <m:sup>
            <m:r>
              <m:t>2</m:t>
            </m:r>
          </m:sup>
        </m:sSup>
        <m:r>
          <m:rPr>
            <m:sty m:val="p"/>
          </m:rPr>
          <m:t>=</m:t>
        </m:r>
        <m:r>
          <m:t>0.09</m:t>
        </m:r>
      </m:oMath>
      <w:r>
        <w:t xml:space="preserve">; Supplementary Table [tab:projection-r2]). DeSurv reconstructed the analysis matrix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w:t>
      </w:r>
    </w:p>
    <w:p>
      <w:pPr>
        <w:pStyle w:val="BodyText"/>
      </w:pPr>
      <w:r>
        <w:t xml:space="preserve">Tuning effort did not appear to explain this difference. We repeated the comparison with a matched-budget unsupervised control, which used DeSurv’s optimizer, gene filter, cross-validation folds, Bayesian-optimization budget and consensus initialization, with rank fixed at three,</w:t>
      </w:r>
      <w:r>
        <w:t xml:space="preserve"> </w:t>
      </w:r>
      <m:oMath>
        <m:r>
          <m:t>α</m:t>
        </m:r>
      </m:oMath>
      <w:r>
        <w:t xml:space="preserve"> </w:t>
      </w:r>
      <w:r>
        <w:t xml:space="preserve">fixed at zero and the remaining hyperparameters re-optimized (Methods). Survival therefore played no part in its factorization objective, although it still guided its tuning, including the gene support that enters consensus initialization. The control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These rows are correspondences between bulk gene programs and reference signatures, not direct identification of CAF cell states. (c) Per-factor reconstruction contribution (normalized Shapley share, summing to 100%) versus survival contribution, the decrease in the maximized unpenalized Cox partial log-likelihood when one factor is dropped from the three training-cohort scores projected over all analyzed genes and the Cox model is refitted using the remaining scores. These increments are conditional and nonadditive; D1 was estimated using these survival outcomes, so its increment locates the survival signal in the fitted model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1" w:name="X915ee18e1a2dc2b5722a73512521e895820b749"/>
    <w:p>
      <w:pPr>
        <w:pStyle w:val="Heading2"/>
      </w:pPr>
      <w:r>
        <w:t xml:space="preserve">Frozen programs retain prognostic relevance across independent PDAC cohorts</w:t>
      </w:r>
    </w:p>
    <w:p>
      <w:pPr>
        <w:pStyle w:val="FirstParagraph"/>
      </w:pPr>
      <w:r>
        <w:t xml:space="preserve">We next scored five external validation datasets from four independent, non-metastatic, treatment-naive PDAC cohorts (Dijk, Moffitt, PACA-AU [array and RNA-seq], and Puleo; Supplementary Table [tab:cohorts]) by projecting each tumor’s expression onto the frozen programs over the union of their top-ranked genes (810 genes;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retaining the RNA-sequencing measurement for PACA-AU patients profiled on both platforms, and yielded</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with a statistically significant combined association in the dataset-stratified analysis (HR per within-dataset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while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varied more across datasets (Fig. [fig:val]a). Nor did any of the three standard NMF factors at the same rank (HRs 0.94–1.00; Fig. [fig:val]a, right); these are individual factor associations from a standard NMF fit, not the combined risk score of the matched-budget control in Table [tab:hr-adjusted].</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dataset-stratified analysis (HR per pooled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and leave-one-dataset-out estimates were similar (HRs 1.34–1.45; Fig. [fig:val]a). Scaled Schoenfeld residuals indicated attenuation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it should be read as a time-averaged summary rather than a constant multiplicative effect.</w:t>
      </w:r>
    </w:p>
    <w:p>
      <w:pPr>
        <w:pStyle w:val="BodyText"/>
      </w:pPr>
      <w:r>
        <w:t xml:space="preserve">Allowing cohort-specific slopes did not significantly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each of the four cohorts), and the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In a sensitivity analysis recalibrating the frozen score in sample within each validation dataset (apparent rather than out-of-sample error), the integrated Brier score, an event-weighted summary over dataset-specific follow-up horizons,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dataset-stratified Cox on the de-duplicated patient-level data, with each program standardized within dataset and scored on the union top-gene support;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(lasso Cox and supervised PCA) with the three DeSurv programs (D1–D3) in the training data; supervised scores concentrate on D1 and are only weakly correlated with the D2 stromal program. These score correspondences do not establish recovery of identical gene programs.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pooled SD (95% CI),</w:t>
            </w:r>
            <w:r>
              <w:t xml:space="preserve"> </w:t>
            </w:r>
            <m:oMath>
              <m:r>
                <m:t>P</m:t>
              </m:r>
            </m:oMath>
          </w:p>
        </w:tc>
        <w:tc>
          <w:tcPr/>
          <w:p>
            <w:pPr>
              <w:pStyle w:val="Compact"/>
              <w:jc w:val="left"/>
            </w:pPr>
            <w:r>
              <w:t xml:space="preserve">Adjusted HR per pooled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pooled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the rank selected by the same one-standard-error rule applied to its own Bayesian-optimization results (</w:t>
      </w:r>
      <m:oMath>
        <m:r>
          <m:t>k</m:t>
        </m:r>
        <m:r>
          <m:rPr>
            <m:sty m:val="p"/>
          </m:rPr>
          <m:t>=</m:t>
        </m:r>
        <m:r>
          <m:t>7</m:t>
        </m:r>
      </m:oMath>
      <w:r>
        <w:rPr>
          <w:iCs/>
          <w:i/>
        </w:rPr>
        <w:t xml:space="preserve">); both use the same fitting pipeline, consensus procedure and outcome-based tuning budget as DeSurv, with</w:t>
      </w:r>
      <w:r>
        <w:rPr>
          <w:iCs/>
          <w:i/>
        </w:rPr>
        <w:t xml:space="preserve"> </w:t>
      </w:r>
      <m:oMath>
        <m:r>
          <m:t>α</m:t>
        </m:r>
      </m:oMath>
      <w:r>
        <w:rPr>
          <w:iCs/>
          <w:i/>
        </w:rPr>
        <w:t xml:space="preserve"> </w:t>
      </w:r>
      <w:r>
        <w:rPr>
          <w:iCs/>
          <w:i/>
        </w:rPr>
        <w:t xml:space="preserve">fixed at zero (Supplementary Table [tab:tab-cindex-comparison]). These are point estimates for the selected models, not tests of superiority and not a comparison of minimum ranks.</w:t>
      </w:r>
    </w:p>
    <w:bookmarkEnd w:id="31"/>
    <w:bookmarkStart w:id="32" w:name="X7fde2f7385271f1c6cf3a3491d058fdf04b2c4f"/>
    <w:p>
      <w:pPr>
        <w:pStyle w:val="Heading2"/>
      </w:pPr>
      <w:r>
        <w:t xml:space="preserve">D1 retains prognostic information beyond established PDAC classifications</w:t>
      </w:r>
    </w:p>
    <w:p>
      <w:pPr>
        <w:pStyle w:val="FirstParagraph"/>
      </w:pPr>
      <w:r>
        <w:t xml:space="preserve">Across the pooled validation cohorts (</w:t>
      </w:r>
      <m:oMath>
        <m:r>
          <m:t>n</m:t>
        </m:r>
        <m:r>
          <m:rPr>
            <m:sty m:val="p"/>
          </m:rPr>
          <m:t>=</m:t>
        </m:r>
        <m:r>
          <m:t>570</m:t>
        </m:r>
      </m:oMath>
      <w:r>
        <w:t xml:space="preserve">, 388 events), binary PurIST and DeCAF classifications together explained 34% of the within-dataset variance in the continuous D1 score, and DeCAF alone explained 19%. D1 nevertheless remained associated with survival after adjustment for both classifiers (HR per within-dataset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dataset-stratified Cox model with additive PurIST and DeCAF terms improved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D1 therefore overlaps substantially with these classifications without being reducible to them.</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In Puleo, the largest validation cohort, the DeSurv linear predictor also remained prognostic after adjustment for sex and resection-margin status (HR per SD 1.33, 95% CI</w:t>
      </w:r>
      <w:r>
        <w:t xml:space="preserve"> </w:t>
      </w:r>
      <m:oMath>
        <m:r>
          <m:t>1.14</m:t>
        </m:r>
      </m:oMath>
      <w:r>
        <w:t xml:space="preserve">–</w:t>
      </w:r>
      <m:oMath>
        <m:r>
          <m:t>1.55</m:t>
        </m:r>
      </m:oMath>
      <w:r>
        <w:t xml:space="preserve">; Supplementary Table [tab:clinical-adjustment]). Within the PACA-AU datasets, these findings argue against measured tumor purity as the main explanation for the observed associations, although they do not establish the cellular identity of D1’s restCAF-like component (Supplementary Information, Stromal resolution: which reference programs are recovered from bulk).</w:t>
      </w:r>
    </w:p>
    <w:bookmarkEnd w:id="32"/>
    <w:bookmarkStart w:id="36" w:name="exploratory-transport-to-treated-disease"/>
    <w:p>
      <w:pPr>
        <w:pStyle w:val="Heading2"/>
      </w:pPr>
      <w:r>
        <w:t xml:space="preserve">Exploratory transport to treated disease</w:t>
      </w:r>
    </w:p>
    <w:p>
      <w:pPr>
        <w:pStyle w:val="FirstParagraph"/>
      </w:pPr>
      <w:r>
        <w:t xml:space="preserve">We also projected the frozen programs, without retraining, into two treated PDAC cohorts. In the O’Kane/COMPASS cohort of metastatic disease (</w:t>
      </w:r>
      <m:oMath>
        <m:r>
          <m:t>n</m:t>
        </m:r>
        <m:r>
          <m:rPr>
            <m:sty m:val="p"/>
          </m:rPr>
          <m:t>=</m:t>
        </m:r>
        <m:r>
          <m:t>173</m:t>
        </m:r>
      </m:oMath>
      <w:r>
        <w:t xml:space="preserve">, 123 deaths),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these laser-capture microdissected profiles are epithelial-enriched, probing chiefly the tumor component of D1.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 a shift that may reflect cell composition, cellular state or both. Because treatment, stage and cohort were not independently varied, these analyses are exploratory and do not establish differential treatment benefit.</w:t>
      </w:r>
    </w:p>
    <w:p>
      <w:pPr>
        <w:pStyle w:val="BodyText"/>
      </w:pPr>
      <w:r>
        <w:drawing>
          <wp:inline>
            <wp:extent cx="5334000" cy="2524290"/>
            <wp:effectExtent b="0" l="0" r="0" t="0"/>
            <wp:docPr descr="" title="" id="34" name="Picture"/>
            <a:graphic>
              <a:graphicData uri="http://schemas.openxmlformats.org/drawingml/2006/picture">
                <pic:pic>
                  <pic:nvPicPr>
                    <pic:cNvPr descr=".docx_media/figures_fig_treated_1.png" id="35" name="Picture"/>
                    <pic:cNvPicPr>
                      <a:picLocks noChangeArrowheads="1" noChangeAspect="1"/>
                    </pic:cNvPicPr>
                  </pic:nvPicPr>
                  <pic:blipFill>
                    <a:blip r:embed="rId33"/>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scored from laser-capture microdissected, epithelial-enriched profiles;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6"/>
    <w:bookmarkStart w:id="37" w:name="Xc685441adc07ef39d4fb33262bfe779f9f1a448"/>
    <w:p>
      <w:pPr>
        <w:pStyle w:val="Heading2"/>
      </w:pPr>
      <w:r>
        <w:t xml:space="preserve">Method comparisons distinguish survival prediction from gene program recovery</w:t>
      </w:r>
    </w:p>
    <w:p>
      <w:pPr>
        <w:pStyle w:val="FirstParagraph"/>
      </w:pPr>
      <w:r>
        <w:t xml:space="preserve">At DeSurv’s rank, the matched-budget unsupervised control did not show a statistically significant survival association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whose rank the same one-standard-error rule set at</w:t>
      </w:r>
      <w:r>
        <w:t xml:space="preserve"> </w:t>
      </w:r>
      <m:oMath>
        <m:r>
          <m:t>k</m:t>
        </m:r>
        <m:r>
          <m:rPr>
            <m:sty m:val="p"/>
          </m:rPr>
          <m:t>=</m:t>
        </m:r>
        <m:r>
          <m:t>7</m:t>
        </m:r>
      </m:oMath>
      <w:r>
        <w:t xml:space="preserve">, carried comparable external prognostic information (Table [tab:hr-adjusted]; Supplementary Table [tab:tab-cindex-comparison]).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Seven is where the one-standard-error rule landed for the unsupervised search, not a general minimum rank for comparable prognostic information. Survival supervision was not required to obtain a prognostic signal, but it altered which programs were identified and how that signal was decomposed.</w:t>
      </w:r>
    </w:p>
    <w:p>
      <w:pPr>
        <w:pStyle w:val="BodyText"/>
      </w:pPr>
      <w:r>
        <w:t xml:space="preserve">To test whether D1 was specific to the DeSurv optimizer, we applied three other survival-supervised approaches to the training datasets (one supervised component each for supervised principal components and Cox partial least squares, one penalized fit for sparse Cox; Methods). All three produced patient scores strongly correlated with D1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whereas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This indicates a shared survival-associated direction in the patient scores, not that the three methods recover the same gene programs.</w:t>
      </w:r>
    </w:p>
    <w:p>
      <w:pPr>
        <w:pStyle w:val="BodyText"/>
      </w:pPr>
      <w:r>
        <w:t xml:space="preserve">Independently tuned supervised principal components and lasso-penalized Cox regression had pooled external C-indices of</w:t>
      </w:r>
      <w:r>
        <w:t xml:space="preserve"> </w:t>
      </w:r>
      <m:oMath>
        <m:r>
          <m:t>0.60</m:t>
        </m:r>
      </m:oMath>
      <w:r>
        <w:t xml:space="preserve"> </w:t>
      </w:r>
      <w:r>
        <w:t xml:space="preserve">and</w:t>
      </w:r>
      <w:r>
        <w:t xml:space="preserve"> </w:t>
      </w:r>
      <m:oMath>
        <m:r>
          <m:t>0.60</m:t>
        </m:r>
      </m:oMath>
      <w:r>
        <w:t xml:space="preserve">, versus</w:t>
      </w:r>
      <w:r>
        <w:t xml:space="preserve"> </w:t>
      </w:r>
      <m:oMath>
        <m:r>
          <m:t>0.61</m:t>
        </m:r>
      </m:oMath>
      <w:r>
        <w:t xml:space="preserve"> </w:t>
      </w:r>
      <w:r>
        <w:t xml:space="preserve">for DeSurv. For this comparison, DeSurv used per-program gene supports and unpenalized Cox coefficients re-estimated on the training scores, rather than the union-support predictor used for primary external validation. The selected genes of the supervised predictors, however, were enriched for basal-like tumor programs in every cross-validation seed and for none of the stromal, immune or exocrine programs examined,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They nevertheless carried some stromal information, correlating with an external activated-stroma and proCAF signature at</w:t>
      </w:r>
      <w:r>
        <w:t xml:space="preserve"> </w:t>
      </w:r>
      <m:oMath>
        <m:d>
          <m:dPr>
            <m:begChr m:val="|"/>
            <m:endChr m:val="|"/>
            <m:sepChr m:val=""/>
            <m:grow/>
          </m:dPr>
          <m:e>
            <m:r>
              <m:t>r</m:t>
            </m:r>
          </m:e>
        </m:d>
        <m:r>
          <m:rPr>
            <m:sty m:val="p"/>
          </m:rPr>
          <m:t>=</m:t>
        </m:r>
        <m:r>
          <m:t>0.20</m:t>
        </m:r>
      </m:oMath>
      <w:r>
        <w:t xml:space="preserve"> </w:t>
      </w:r>
      <w:r>
        <w:t xml:space="preserve">and</w:t>
      </w:r>
      <w:r>
        <w:t xml:space="preserve"> </w:t>
      </w:r>
      <m:oMath>
        <m:r>
          <m:t>0.23</m:t>
        </m:r>
      </m:oMath>
      <w:r>
        <w:t xml:space="preserve">, against</w:t>
      </w:r>
      <w:r>
        <w:t xml:space="preserve"> </w:t>
      </w:r>
      <m:oMath>
        <m:r>
          <m:t>0.55</m:t>
        </m:r>
      </m:oMath>
      <w:r>
        <w:t xml:space="preserve"> </w:t>
      </w:r>
      <w:r>
        <w:t xml:space="preserve">for D2 (Supplementary Information). DeSurv places the shared prognostic direction within separately scored tumor and stromal programs and provides program-specific gene lists for biological investigation and future classifier development.</w:t>
      </w:r>
    </w:p>
    <w:bookmarkEnd w:id="37"/>
    <w:bookmarkStart w:id="41" w:name="X6689aa5313dac45210423b6867d0aa8d64ac134"/>
    <w:p>
      <w:pPr>
        <w:pStyle w:val="Heading2"/>
      </w:pPr>
      <w:r>
        <w:t xml:space="preserve">Survival supervision improves program recovery when prognostic signal contributes little expression variation</w:t>
      </w:r>
    </w:p>
    <w:p>
      <w:pPr>
        <w:pStyle w:val="FirstParagraph"/>
      </w:pPr>
      <w:r>
        <w:t xml:space="preserve">In simulations with known latent structure, expression profiles were generated for</w:t>
      </w:r>
      <w:r>
        <w:t xml:space="preserve"> </w:t>
      </w:r>
      <m:oMath>
        <m:r>
          <m:t>p</m:t>
        </m:r>
        <m:r>
          <m:rPr>
            <m:sty m:val="p"/>
          </m:rPr>
          <m:t>=</m:t>
        </m:r>
        <m:r>
          <m:t>3</m:t>
        </m:r>
        <m:r>
          <m:rPr>
            <m:sty m:val="p"/>
          </m:rPr>
          <m:t>,</m:t>
        </m:r>
        <m:r>
          <m:t>000</m:t>
        </m:r>
      </m:oMath>
      <w:r>
        <w:t xml:space="preserve"> </w:t>
      </w:r>
      <w:r>
        <w:t xml:space="preserve">genes and</w:t>
      </w:r>
      <w:r>
        <w:t xml:space="preserve"> </w:t>
      </w:r>
      <m:oMath>
        <m:r>
          <m:t>n</m:t>
        </m:r>
        <m:r>
          <m:rPr>
            <m:sty m:val="p"/>
          </m:rPr>
          <m:t>=</m:t>
        </m:r>
        <m:r>
          <m:t>200</m:t>
        </m:r>
      </m:oMath>
      <w:r>
        <w:t xml:space="preserve"> </w:t>
      </w:r>
      <w:r>
        <w:t xml:space="preserve">samples from</w:t>
      </w:r>
      <w:r>
        <w:t xml:space="preserve"> </w:t>
      </w:r>
      <m:oMath>
        <m:r>
          <m:t>k</m:t>
        </m:r>
        <m:r>
          <m:rPr>
            <m:sty m:val="p"/>
          </m:rPr>
          <m:t>=</m:t>
        </m:r>
        <m:r>
          <m:t>3</m:t>
        </m:r>
      </m:oMath>
      <w:r>
        <w:t xml:space="preserve"> </w:t>
      </w:r>
      <w:r>
        <w:t xml:space="preserve">true programs, each with its own marker genes and all drawn from the same loading and activity distributions (Methods, Simulation studies). In the primary scenario, survival depended on the marker genes of one program only, and those genes contributed less transcriptomic variation than a shared background signal excluded from the survival-generating gene set. DeSurv and its unsupervised limit (</w:t>
      </w:r>
      <m:oMath>
        <m:r>
          <m:t>α</m:t>
        </m:r>
        <m:r>
          <m:rPr>
            <m:sty m:val="p"/>
          </m:rPr>
          <m:t>=</m:t>
        </m:r>
        <m:r>
          <m:t>0</m:t>
        </m:r>
      </m:oMath>
      <w:r>
        <w:t xml:space="preserve">) were tuned by the same cross-validation procedure.</w:t>
      </w:r>
    </w:p>
    <w:p>
      <w:pPr>
        <w:pStyle w:val="BodyText"/>
      </w:pPr>
      <w:r>
        <w:t xml:space="preserve">Under this setting, DeSurv more accurately recovered the genes defining the true prognostic program, whereas unsupervised NMF was more strongly influenced by the dominant background structure (Fig. [fig:sim]a,b). Across 100 simulated datasets, median matched-factor precision (the proportion of the best-matching learned program’s selected genes belonging to the true prognostic gene set) was 0.50 for DeSurv versus 0.07 for unsupervised NMF. Global marker recall (the proportion of the true survival-driving marker genes appearing in the union of all learned programs’ top-ranked gene sets) was 0.26 versus 0.15 (Supplementary Information).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rank (</w:t>
      </w:r>
      <m:oMath>
        <m:r>
          <m:t>k</m:t>
        </m:r>
        <m:r>
          <m:rPr>
            <m:sty m:val="p"/>
          </m:rPr>
          <m:t>=</m:t>
        </m:r>
        <m:r>
          <m:t>3</m:t>
        </m:r>
      </m:oMath>
      <w:r>
        <w:t xml:space="preserve">) more frequently (Fig. [fig:sim]c).</w:t>
      </w:r>
    </w:p>
    <w:p>
      <w:pPr>
        <w:pStyle w:val="BodyText"/>
      </w:pPr>
      <w:r>
        <w:t xml:space="preserve">Performance depended on how prognostic signal aligned with expression structure. In the mixed setting, the benefit of supervision differed between recovery of program-specific markers and recovery of shared background genes included in the survival-generating set (Supplementary Fig. [fig:fig-sim-null-mixed]). Under the null, test-set concordance was near chance for both methods. There, the selected supervision strength dispersed across its admissible range rather than concentrating at zero (median</w:t>
      </w:r>
      <w:r>
        <w:t xml:space="preserve"> </w:t>
      </w:r>
      <m:oMath>
        <m:r>
          <m:t>α</m:t>
        </m:r>
        <m:r>
          <m:rPr>
            <m:sty m:val="p"/>
          </m:rPr>
          <m:t>=</m:t>
        </m:r>
        <m:r>
          <m:t>0.59</m:t>
        </m:r>
      </m:oMath>
      <w:r>
        <w:t xml:space="preserve">, interquartile range</w:t>
      </w:r>
      <w:r>
        <w:t xml:space="preserve"> </w:t>
      </w:r>
      <m:oMath>
        <m:r>
          <m:t>0.19</m:t>
        </m:r>
      </m:oMath>
      <w:r>
        <w:t xml:space="preserve">–</w:t>
      </w:r>
      <m:oMath>
        <m:r>
          <m:t>0.82</m:t>
        </m:r>
      </m:oMath>
      <w:r>
        <w:t xml:space="preserve"> </w:t>
      </w:r>
      <w:r>
        <w:t xml:space="preserve">across 100 simulated datasets), consistent with weak discrimination among supervision strengths.</w:t>
      </w:r>
    </w:p>
    <w:p>
      <w:pPr>
        <w:pStyle w:val="BodyText"/>
      </w:pPr>
      <w:r>
        <w:drawing>
          <wp:inline>
            <wp:extent cx="5334000" cy="4923692"/>
            <wp:effectExtent b="0" l="0" r="0" t="0"/>
            <wp:docPr descr="" title="" id="39" name="Picture"/>
            <a:graphic>
              <a:graphicData uri="http://schemas.openxmlformats.org/drawingml/2006/picture">
                <pic:pic>
                  <pic:nvPicPr>
                    <pic:cNvPr descr=".docx_media/figures_fig2_tcgacptac.png" id="40" name="Picture"/>
                    <pic:cNvPicPr>
                      <a:picLocks noChangeArrowheads="1" noChangeAspect="1"/>
                    </pic:cNvPicPr>
                  </pic:nvPicPr>
                  <pic:blipFill>
                    <a:blip r:embed="rId38"/>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prognostic signal contributes little expression variation. (a) Test-set concordance across 100 simulated datasets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medians 0.837 versus 0.724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medians 0.50 versus 0.07. The best-matching program is selected using the known simulated gene set; this evaluates recovery with access to ground truth. Global marker recall, which uses no matching, is reported in the Supplementary Information. In (a) and (b), boxes show median and interquartile range; whiskers extend to</w:t>
      </w:r>
      <w:r>
        <w:rPr>
          <w:iCs/>
          <w:i/>
        </w:rPr>
        <w:t xml:space="preserve"> </w:t>
      </w:r>
      <m:oMath>
        <m:r>
          <m:t>1.5</m:t>
        </m:r>
        <m:r>
          <m:rPr>
            <m:sty m:val="p"/>
          </m:rPr>
          <m:t>×</m:t>
        </m:r>
      </m:oMath>
      <w:r>
        <w:rPr>
          <w:iCs/>
          <w:i/>
        </w:rPr>
        <w:t xml:space="preserve">IQR; points are individual simulated datasets. (c) Distribution of selected ranks across simulated datasets for DeSurv versus unsupervised NMF. (d) The same matched-factor precision metric as in (b), computed for two signal regimes: a prognostic program whose genes carry low transcriptomic variance relative to the shared background excluded from the survival-generating gene set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41"/>
    <w:bookmarkEnd w:id="42"/>
    <w:bookmarkStart w:id="43" w:name="discussion"/>
    <w:p>
      <w:pPr>
        <w:pStyle w:val="Heading1"/>
      </w:pPr>
      <w:r>
        <w:t xml:space="preserve">Discussion</w:t>
      </w:r>
    </w:p>
    <w:p>
      <w:pPr>
        <w:pStyle w:val="FirstParagraph"/>
      </w:pPr>
      <w:r>
        <w:t xml:space="preserve">DeSurv allows patient survival to shape gene-program discovery, yielding a tumor–stroma architecture that connects prognostic information with interpretable malignant and stromal programs. In PDAC, the architecture comprised a dominant survival-aligned program, D1, characterized by coordinated cross-patient variation in classical tumor and restCAF-like stromal features, alongside separately resolved proCAF-like stromal and basal-like tumor programs. D1 remained prognostic after adjustment for the established PurIST and DeCAF classifications. The frozen programs then transferred without refitting across four independent external patient cohorts.</w:t>
      </w:r>
    </w:p>
    <w:p>
      <w:pPr>
        <w:pStyle w:val="BodyText"/>
      </w:pPr>
      <w:r>
        <w:t xml:space="preserve">An unsupervised control at</w:t>
      </w:r>
      <w:r>
        <w:t xml:space="preserve"> </w:t>
      </w:r>
      <m:oMath>
        <m:r>
          <m:t>α</m:t>
        </m:r>
        <m:r>
          <m:rPr>
            <m:sty m:val="p"/>
          </m:rPr>
          <m:t>=</m:t>
        </m:r>
        <m:r>
          <m:t>0</m:t>
        </m:r>
      </m:oMath>
      <w:r>
        <w:t xml:space="preserve">, matched to DeSurv on rank and tuning budget, did not recover D1, so the difference in the recovered programs did not appear to reflect rank or tuning effort. A rank-optimized unsupervised control recovered comparable prognostic information across a broader seven-factor representation, and conventional supervised predictors produced scores aligned with the dominant prognostic direction, correlating only weakly with the separately resolved proCAF-like program (Fig. [fig:val]b). These comparisons separate prognostic information from the representation in which that information is recovered.</w:t>
      </w:r>
    </w:p>
    <w:p>
      <w:pPr>
        <w:pStyle w:val="BodyText"/>
      </w:pPr>
      <w:r>
        <w:t xml:space="preserve">This distinction clarifies the role of the frozen gene-program basis.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held fixed, so external validation tests the same programs rather than a newly estimated representation. In CoxNMF and SurvNMF, the survival term depends on sample-side latent representations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In DeSurv, it depends directly on projections through the gene-program matrix, and new samples are scored using fixed gene weights without an additional sample-loading estimation step (Supplementary Table [tab:architecture]).</w:t>
      </w:r>
    </w:p>
    <w:p>
      <w:pPr>
        <w:pStyle w:val="BodyText"/>
      </w:pPr>
      <w:r>
        <w:t xml:space="preserve">Program-level outputs are the practical product of this architecture, because the genes assigned to a program determine how it is interpreted and what is tested next. Previous PDAC studies illustrate how interpretable malignant and stromal programs can support biological characterization and the development of single-sample classifiers</w:t>
      </w:r>
      <w:hyperlink w:anchor="ref-moffitt2015virtual">
        <w:r>
          <w:rPr>
            <w:rStyle w:val="Hyperlink"/>
            <w:vertAlign w:val="superscript"/>
          </w:rPr>
          <w:t xml:space="preserve">3</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Program-specific gene lists connect measured scores to biological annotation and provide candidates for subsequent classifier development. DeSurv extends this line of work by allowing patient outcomes to influence the gene weights themselves, and D2 remains available as separately measurable proCAF-like stromal context although the fitted risk score combines D1 and D3. These outputs do not yet establish clinical utility or a treatment-selection rule.</w:t>
      </w:r>
    </w:p>
    <w:p>
      <w:pPr>
        <w:pStyle w:val="BodyText"/>
      </w:pPr>
      <w:r>
        <w:t xml:space="preserve">Rank choice and initialization can affect the recovered gene programs. Increasing rank progressively broadened correspondence to established PDAC programs. The three-factor DeSurv solution and the seven-factor unsupervised control were selected by the same one-standard-error rule. Survival supervision provides an outcome-informed criterion for shaping the representation, but it does not remove the non-uniqueness of matrix factorization, and individual DeSurv runs from different random starts recover appreciably different gene sets. Split-half consensus fits agreed closely with the reported basis (Supplementary Information, Stability of the recovered gene programs), which supports stability to restart-pool composition within the training data while leaving reproducibility under independent repetition, and the stability of the full consensus procedure under patient resampling, to be established.</w:t>
      </w:r>
    </w:p>
    <w:p>
      <w:pPr>
        <w:pStyle w:val="BodyText"/>
      </w:pPr>
      <w:r>
        <w:t xml:space="preserve">The simulations identify conditions under which survival information improves program recovery. They give a controlled example of how survival supervision can prioritize prognostically relevant structure that contributes relatively little expression variation.</w:t>
      </w:r>
    </w:p>
    <w:p>
      <w:pPr>
        <w:pStyle w:val="BodyText"/>
      </w:pPr>
      <w:r>
        <w:t xml:space="preserve">Three statistical qualifications bound the prognostic findings. DeSurv uses a proportional-hazards objective, while the external validation data showed attenuation of the prognostic association over follow-up (Results), so the reported hazard ratios are time-averaged summaries and extensions could accommodate non-proportional hazards or nonlinear survival relationships. The integrated Brier analysis recalibrated the score’s scalar slope and baseline hazard within each validation dataset, so it describes apparent prediction error rather than out-of-sample prediction error (Supplementary Information, Proper-scoring sensitivity of the external validation). The pooled training objective was fitted without a cohort term; within-cohort analyses argued against simple encoding of training-cohort membership, though cohort influence on the learned representation remains possible (Supplementary Information, Cohort handling in the training objective).</w:t>
      </w:r>
    </w:p>
    <w:p>
      <w:pPr>
        <w:pStyle w:val="BodyText"/>
      </w:pPr>
      <w:r>
        <w:t xml:space="preserve">In treated cohorts the frozen scores remained informative in exploratory analyses, but arm-level sample sizes limited assessment of variation in the association across treatments. Whether these programs predict differential treatment benefit therefore remains unresolved and will require adequately powered, prespecified treatment-by-program interaction analyses in studies designed to support treatment comparisons.</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This organization is consistent with broader evidence that malignant lineage state and stromal composition vary together in PDAC</w:t>
      </w:r>
      <w:hyperlink w:anchor="ref-ogawa2020stroma">
        <w:r>
          <w:rPr>
            <w:rStyle w:val="Hyperlink"/>
            <w:vertAlign w:val="superscript"/>
          </w:rPr>
          <w:t xml:space="preserve">34</w:t>
        </w:r>
      </w:hyperlink>
      <w:r>
        <w:rPr>
          <w:vertAlign w:val="superscript"/>
        </w:rPr>
        <w:t xml:space="preserve">–</w:t>
      </w:r>
      <w:hyperlink w:anchor="ref-lee2024tumorcaf">
        <w:r>
          <w:rPr>
            <w:rStyle w:val="Hyperlink"/>
            <w:vertAlign w:val="superscript"/>
          </w:rPr>
          <w:t xml:space="preserve">36</w:t>
        </w:r>
      </w:hyperlink>
      <w:r>
        <w:t xml:space="preserve">. Adjustment for PurIST and DeCAF supports D1’s prognostic association beyond those classifiers, purity adjustment in the PACA-AU datasets leaves the risk score’s association essentially unchanged, and other supervised methods recover a related patient-score direction. GATA6 RNA in situ hybridization independently supports D1’s classical tumor component; these analyses do not establish the cellular identity of its stromal component. Single-cell or spatial profiling could clarify the cellular sources of these programs; linking those sources to prognosis would additionally require outcome-annotated cohorts and scoring methods appropriate for the measurement platform.</w:t>
      </w:r>
    </w:p>
    <w:p>
      <w:pPr>
        <w:pStyle w:val="BodyText"/>
      </w:pPr>
      <w:r>
        <w:t xml:space="preserve">The question DeSurv addresses extends beyond PDAC. In any tumor type, the programs that dominate expression variation may differ from those most relevant to survival, so outcome information could help prioritize programs that reconstruction alone underweights. Testing generalizability will require multi-cancer evaluation of prognostic performance, program recovery and stability, with attention to cohort composition and event counts. Comparators should include unsupervised decompositions and strong penalized-regression baselines, which remain difficult to outperform consistently for out-of-sample prognosis</w:t>
      </w:r>
      <w:hyperlink w:anchor="ref-smith2020standard">
        <w:r>
          <w:rPr>
            <w:rStyle w:val="Hyperlink"/>
            <w:vertAlign w:val="superscript"/>
          </w:rPr>
          <w:t xml:space="preserve">37</w:t>
        </w:r>
      </w:hyperlink>
      <w:r>
        <w:t xml:space="preserve">. PDAC is the empirical demonstration presented here rather than evidence of pan-cancer validation.</w:t>
      </w:r>
    </w:p>
    <w:p>
      <w:pPr>
        <w:pStyle w:val="BodyText"/>
      </w:pPr>
      <w:r>
        <w:t xml:space="preserve">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3"/>
    <w:bookmarkStart w:id="58" w:name="methods"/>
    <w:p>
      <w:pPr>
        <w:pStyle w:val="Heading1"/>
      </w:pPr>
      <w:r>
        <w:t xml:space="preserve">Methods</w:t>
      </w:r>
    </w:p>
    <w:bookmarkStart w:id="44"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 We use</w:t>
      </w:r>
      <w:r>
        <w:t xml:space="preserve"> </w:t>
      </w:r>
      <w:r>
        <w:rPr>
          <w:iCs/>
          <w:i/>
        </w:rPr>
        <w:t xml:space="preserve">factor</w:t>
      </w:r>
      <w:r>
        <w:t xml:space="preserve"> </w:t>
      </w:r>
      <w:r>
        <w:t xml:space="preserve">for a mathematical component and</w:t>
      </w:r>
      <w:r>
        <w:t xml:space="preserve"> </w:t>
      </w:r>
      <w:r>
        <w:rPr>
          <w:iCs/>
          <w:i/>
        </w:rPr>
        <w:t xml:space="preserve">program</w:t>
      </w:r>
      <w:r>
        <w:t xml:space="preserve"> </w:t>
      </w:r>
      <w:r>
        <w:t xml:space="preserve">for its biological interpretation, including for comparator methods.</w:t>
      </w:r>
      <w:r>
        <w:t xml:space="preserve"> </w:t>
      </w:r>
      <w:r>
        <w:t xml:space="preserve">“</w:t>
      </w:r>
      <w:r>
        <w:t xml:space="preserve">Unsupervised</w:t>
      </w:r>
      <w:r>
        <w:t xml:space="preserve">”</w:t>
      </w:r>
      <w:r>
        <w:t xml:space="preserve"> </w:t>
      </w:r>
      <w:r>
        <w:t xml:space="preserve">describes a factorization objective without a survival term; outcome-based tuning is stated separately.</w:t>
      </w:r>
    </w:p>
    <w:bookmarkEnd w:id="44"/>
    <w:bookmarkStart w:id="45"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Five quantities are tuned. The rank</w:t>
      </w:r>
      <w:r>
        <w:t xml:space="preserve"> </w:t>
      </w:r>
      <m:oMath>
        <m:r>
          <m:t>k</m:t>
        </m:r>
      </m:oMath>
      <w:r>
        <w:t xml:space="preserve"> </w:t>
      </w:r>
      <w:r>
        <w:t xml:space="preserve">is the number of programs;</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the two objectives;</w:t>
      </w:r>
      <w:r>
        <w:t xml:space="preserve"> </w:t>
      </w:r>
      <m:oMath>
        <m:r>
          <m:t>λ</m:t>
        </m:r>
      </m:oMath>
      <w:r>
        <w:t xml:space="preserve"> </w:t>
      </w:r>
      <w:r>
        <w:t xml:space="preserve">and</w:t>
      </w:r>
      <w:r>
        <w:t xml:space="preserve"> </w:t>
      </w:r>
      <m:oMath>
        <m:r>
          <m:t>ξ</m:t>
        </m:r>
      </m:oMath>
      <w:r>
        <w:t xml:space="preserve"> </w:t>
      </w:r>
      <w:r>
        <w:t xml:space="preserve">are the strength and elastic-net mixing of the Cox penalty; and</w:t>
      </w:r>
      <w:r>
        <w:t xml:space="preserve"> </w:t>
      </w:r>
      <m:oMath>
        <m:sSub>
          <m:e>
            <m:r>
              <m:t>n</m:t>
            </m:r>
          </m:e>
          <m:sub>
            <m:r>
              <m:rPr>
                <m:nor/>
                <m:sty m:val="p"/>
              </m:rPr>
              <m:t>top</m:t>
            </m:r>
          </m:sub>
        </m:sSub>
      </m:oMath>
      <w:r>
        <w:t xml:space="preserve"> </w:t>
      </w:r>
      <w:r>
        <w:t xml:space="preserve">determines each program’s top-gene set, whose union defines the scoring support. A sixth, the optional ridge penalty</w:t>
      </w:r>
      <w:r>
        <w:t xml:space="preserve"> </w:t>
      </w:r>
      <m:oMath>
        <m:sSub>
          <m:e>
            <m:r>
              <m:t>λ</m:t>
            </m:r>
          </m:e>
          <m:sub>
            <m:r>
              <m:t>H</m:t>
            </m:r>
          </m:sub>
        </m:sSub>
      </m:oMath>
      <w:r>
        <w:t xml:space="preserve"> </w:t>
      </w:r>
      <w:r>
        <w:t xml:space="preserve">on the loadings, was held at zero throughout.</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with components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e>
              <m:e>
                <m:r>
                  <m:rPr>
                    <m:sty m:val="p"/>
                  </m:rPr>
                  <m:t>=</m:t>
                </m:r>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r>
                  <m:rPr>
                    <m:sty m:val="p"/>
                  </m:rPr>
                  <m:t>,</m:t>
                </m:r>
              </m:e>
            </m:mr>
            <m:mr>
              <m:e>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e>
              <m:e>
                <m:r>
                  <m:rPr>
                    <m:sty m:val="p"/>
                  </m:rPr>
                  <m:t>=</m:t>
                </m:r>
                <m:f>
                  <m:fPr>
                    <m:type m:val="bar"/>
                  </m:fPr>
                  <m:num>
                    <m:r>
                      <m:t>2</m:t>
                    </m:r>
                  </m:num>
                  <m:den>
                    <m:sSub>
                      <m:e>
                        <m:r>
                          <m:t>n</m:t>
                        </m:r>
                      </m:e>
                      <m:sub>
                        <m:r>
                          <m:rPr>
                            <m:sty m:val="p"/>
                          </m:rPr>
                          <m:t>e</m:t>
                        </m:r>
                        <m:r>
                          <m:rPr>
                            <m:sty m:val="p"/>
                          </m:rPr>
                          <m:t>v</m:t>
                        </m:r>
                        <m:r>
                          <m:rPr>
                            <m:sty m:val="p"/>
                          </m:rPr>
                          <m:t>e</m:t>
                        </m:r>
                        <m:r>
                          <m:rPr>
                            <m:sty m:val="p"/>
                          </m:rPr>
                          <m:t>n</m:t>
                        </m:r>
                        <m:r>
                          <m:rPr>
                            <m:sty m:val="p"/>
                          </m:rPr>
                          <m:t>t</m:t>
                        </m:r>
                      </m:sub>
                    </m:sSub>
                  </m:den>
                </m:f>
                <m:r>
                  <m:t> </m:t>
                </m:r>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rPr>
            <m:sty m:val="p"/>
          </m:rPr>
          <m:t>ℓ</m:t>
        </m:r>
        <m:d>
          <m:dPr>
            <m:begChr m:val="("/>
            <m:endChr m:val=")"/>
            <m:sepChr m:val=""/>
            <m:grow/>
          </m:dPr>
          <m:e>
            <m:r>
              <m:t>W</m:t>
            </m:r>
            <m:r>
              <m:rPr>
                <m:sty m:val="p"/>
              </m:rPr>
              <m:t>,</m:t>
            </m:r>
            <m:r>
              <m:t>β</m:t>
            </m:r>
          </m:e>
        </m:d>
      </m:oMath>
      <w:r>
        <w:t xml:space="preserve"> </w:t>
      </w:r>
      <w:r>
        <w:t xml:space="preserve">is the Cox log-partial likelihood, the fit criterion of the Cox model, and</w:t>
      </w:r>
      <w:r>
        <w:t xml:space="preserve"> </w:t>
      </w:r>
      <m:oMath>
        <m:sSub>
          <m:e>
            <m:r>
              <m:t>n</m:t>
            </m:r>
          </m:e>
          <m:sub>
            <m:r>
              <m:rPr>
                <m:sty m:val="p"/>
              </m:rPr>
              <m:t>e</m:t>
            </m:r>
            <m:r>
              <m:rPr>
                <m:sty m:val="p"/>
              </m:rPr>
              <m:t>v</m:t>
            </m:r>
            <m:r>
              <m:rPr>
                <m:sty m:val="p"/>
              </m:rPr>
              <m:t>e</m:t>
            </m:r>
            <m:r>
              <m:rPr>
                <m:sty m:val="p"/>
              </m:rPr>
              <m:t>n</m:t>
            </m:r>
            <m:r>
              <m:rPr>
                <m:sty m:val="p"/>
              </m:rPr>
              <m:t>t</m:t>
            </m:r>
          </m:sub>
        </m:sSub>
      </m:oMath>
      <w:r>
        <w:t xml:space="preserve"> </w:t>
      </w:r>
      <w:r>
        <w:t xml:space="preserve">is the number of observed deaths. The elastic-net penalty acts on the standardized-score coefficients</w:t>
      </w:r>
      <w:r>
        <w:t xml:space="preserve"> </w:t>
      </w:r>
      <m:oMath>
        <m:r>
          <m:t>b</m:t>
        </m:r>
        <m:r>
          <m:rPr>
            <m:sty m:val="p"/>
          </m:rPr>
          <m:t>=</m:t>
        </m:r>
        <m:sSub>
          <m:e>
            <m:r>
              <m:t>D</m:t>
            </m:r>
          </m:e>
          <m:sub>
            <m:r>
              <m:t>Z</m:t>
            </m:r>
          </m:sub>
        </m:sSub>
        <m:r>
          <m:t>β</m:t>
        </m:r>
      </m:oMath>
      <w:r>
        <w:t xml:space="preserve">. Here</w:t>
      </w:r>
      <w:r>
        <w:t xml:space="preserve"> </w:t>
      </w:r>
      <m:oMath>
        <m:sSub>
          <m:e>
            <m:r>
              <m:t>D</m:t>
            </m:r>
          </m:e>
          <m:sub>
            <m:r>
              <m:t>Z</m:t>
            </m:r>
          </m:sub>
        </m:sSub>
        <m:r>
          <m:rPr>
            <m:sty m:val="p"/>
          </m:rPr>
          <m:t>=</m:t>
        </m:r>
        <m:r>
          <m:rPr>
            <m:sty m:val="p"/>
          </m:rPr>
          <m:t>diag</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contains the standard deviations across samples of the factor-score rows at the current</w:t>
      </w:r>
      <w:r>
        <w:t xml:space="preserve"> </w:t>
      </w:r>
      <m:oMath>
        <m:r>
          <m:t>W</m:t>
        </m:r>
      </m:oMath>
      <w:r>
        <w:t xml:space="preserve">. The inverse map</w:t>
      </w:r>
      <w:r>
        <w:t xml:space="preserve"> </w:t>
      </w:r>
      <m:oMath>
        <m:r>
          <m:t>β</m:t>
        </m:r>
        <m:r>
          <m:rPr>
            <m:sty m:val="p"/>
          </m:rPr>
          <m:t>=</m:t>
        </m:r>
        <m:sSubSup>
          <m:e>
            <m:r>
              <m:t>D</m:t>
            </m:r>
          </m:e>
          <m:sub>
            <m:r>
              <m:t>Z</m:t>
            </m:r>
          </m:sub>
          <m:sup>
            <m:r>
              <m:rPr>
                <m:sty m:val="p"/>
              </m:rPr>
              <m:t>−</m:t>
            </m:r>
            <m:r>
              <m:t>1</m:t>
            </m:r>
          </m:sup>
        </m:sSubSup>
        <m:r>
          <m:t>b</m:t>
        </m:r>
      </m:oMath>
      <w:r>
        <w:t xml:space="preserve"> </w:t>
      </w:r>
      <w:r>
        <w:t xml:space="preserve">is applied only on the retained, nondegenerate score rows; a row whose score standard deviation falls below the numerical floor given in Supplementary Information, Optimization Algorithm, is dropped and its coefficient set to zero. This is the objective the implementation evaluates and records. 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normalize the component losses before</w:t>
      </w:r>
      <w:r>
        <w:t xml:space="preserve"> </w:t>
      </w:r>
      <m:oMath>
        <m:r>
          <m:t>α</m:t>
        </m:r>
      </m:oMath>
      <w:r>
        <w:t xml:space="preserve"> </w:t>
      </w:r>
      <w:r>
        <w:t xml:space="preserve">sets their relative contribution (Supplementary Information, Model details).</w:t>
      </w:r>
    </w:p>
    <w:p>
      <w:pPr>
        <w:pStyle w:val="BodyText"/>
      </w:pPr>
      <w:r>
        <w:t xml:space="preserve">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38</w:t>
        </w:r>
      </w:hyperlink>
      <w:r>
        <w:t xml:space="preserve">; the entries of</w:t>
      </w:r>
      <w:r>
        <w:t xml:space="preserve"> </w:t>
      </w:r>
      <m:oMath>
        <m:r>
          <m:t>H</m:t>
        </m:r>
      </m:oMath>
      <w:r>
        <w:t xml:space="preserve"> </w:t>
      </w:r>
      <w:r>
        <w:t xml:space="preserve">are sample loadings on the learned programs, not estimated cell-type fractions.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therefore govern the post hoc Cox fit rather than entering the factorization objective.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bookmarkEnd w:id="45"/>
    <w:bookmarkStart w:id="46" w:name="optimization"/>
    <w:p>
      <w:pPr>
        <w:pStyle w:val="Heading2"/>
      </w:pPr>
      <w:r>
        <w:t xml:space="preserve">Optimization</w:t>
      </w:r>
    </w:p>
    <w:p>
      <w:pPr>
        <w:pStyle w:val="FirstParagraph"/>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Optimization Algorithm). The reconstruction term is minimized using multiplicative updates that preserve nonnegativity, and the supervision term enters the proposal for</w:t>
      </w:r>
      <w:r>
        <w:t xml:space="preserve"> </w:t>
      </w:r>
      <m:oMath>
        <m:r>
          <m:t>W</m:t>
        </m:r>
      </m:oMath>
      <w:r>
        <w:t xml:space="preserve"> </w:t>
      </w:r>
      <w:r>
        <w:t xml:space="preserve">as a Cox log-partial-likelihood derivative. The proposal rescales the weighted reconstruction and survival gradients using the norm-based factor defined in the Supplementary Information, subject to its numerical stabilizer and cap. It does not differentiate the</w:t>
      </w:r>
      <w:r>
        <w:t xml:space="preserve"> </w:t>
      </w:r>
      <m:oMath>
        <m:r>
          <m:t>W</m:t>
        </m:r>
      </m:oMath>
      <w:r>
        <w:t xml:space="preserve">-dependent penalty on the standardized-score coefficients and is therefore not the gradient of the full objective; each candidate is instead evaluated under the full objective by a backtracking line search. Every candidate</w:t>
      </w:r>
      <w:r>
        <w:t xml:space="preserve"> </w:t>
      </w:r>
      <m:oMath>
        <m:r>
          <m:t>W</m:t>
        </m:r>
      </m:oMath>
      <w:r>
        <w:t xml:space="preserve"> </w:t>
      </w:r>
      <w:r>
        <w:t xml:space="preserve">is first normalized to unit-Euclidean-norm columns, with</w:t>
      </w:r>
      <w:r>
        <w:t xml:space="preserve"> </w:t>
      </w:r>
      <m:oMath>
        <m:r>
          <m:t>H</m:t>
        </m:r>
      </m:oMath>
      <w:r>
        <w:t xml:space="preserve"> </w:t>
      </w:r>
      <w:r>
        <w:t xml:space="preserve">and</w:t>
      </w:r>
      <w:r>
        <w:t xml:space="preserve"> </w:t>
      </w:r>
      <m:oMath>
        <m:r>
          <m:t>β</m:t>
        </m:r>
      </m:oMath>
      <w:r>
        <w:t xml:space="preserve"> </w:t>
      </w:r>
      <w:r>
        <w:t xml:space="preserve">rescaled by the same constants, so that</w:t>
      </w:r>
      <w:r>
        <w:t xml:space="preserve"> </w:t>
      </w:r>
      <m:oMath>
        <m:r>
          <m:t>W</m:t>
        </m:r>
        <m:r>
          <m:t>H</m:t>
        </m:r>
      </m:oMath>
      <w:r>
        <w:t xml:space="preserve">, the linear predictor and</w:t>
      </w:r>
      <w:r>
        <w:t xml:space="preserve"> </w:t>
      </w:r>
      <m:oMath>
        <m:r>
          <m:t>b</m:t>
        </m:r>
        <m:r>
          <m:rPr>
            <m:sty m:val="p"/>
          </m:rPr>
          <m:t>=</m:t>
        </m:r>
        <m:sSub>
          <m:e>
            <m:r>
              <m:t>D</m:t>
            </m:r>
          </m:e>
          <m:sub>
            <m:r>
              <m:t>Z</m:t>
            </m:r>
          </m:sub>
        </m:sSub>
        <m:r>
          <m:t>β</m:t>
        </m:r>
      </m:oMath>
      <w:r>
        <w:t xml:space="preserve"> </w:t>
      </w:r>
      <w:r>
        <w:t xml:space="preserve">are all preserved; with the optional ridge penalties on</w:t>
      </w:r>
      <w:r>
        <w:t xml:space="preserve"> </w:t>
      </w:r>
      <m:oMath>
        <m:r>
          <m:t>W</m:t>
        </m:r>
      </m:oMath>
      <w:r>
        <w:t xml:space="preserve"> </w:t>
      </w:r>
      <w:r>
        <w:t xml:space="preserve">and</w:t>
      </w:r>
      <w:r>
        <w:t xml:space="preserve"> </w:t>
      </w:r>
      <m:oMath>
        <m:r>
          <m:t>H</m:t>
        </m:r>
      </m:oMath>
      <w:r>
        <w:t xml:space="preserve"> </w:t>
      </w:r>
      <w:r>
        <w:t xml:space="preserve">both zero (</w:t>
      </w:r>
      <m:oMath>
        <m:sSub>
          <m:e>
            <m:r>
              <m:t>λ</m:t>
            </m:r>
          </m:e>
          <m:sub>
            <m:r>
              <m:t>W</m:t>
            </m:r>
          </m:sub>
        </m:sSub>
        <m:r>
          <m:rPr>
            <m:sty m:val="p"/>
          </m:rPr>
          <m:t>=</m:t>
        </m:r>
        <m:sSub>
          <m:e>
            <m:r>
              <m:t>λ</m:t>
            </m:r>
          </m:e>
          <m:sub>
            <m:r>
              <m:t>H</m:t>
            </m:r>
          </m:sub>
        </m:sSub>
        <m:r>
          <m:rPr>
            <m:sty m:val="p"/>
          </m:rPr>
          <m:t>=</m:t>
        </m:r>
        <m:r>
          <m:t>0</m:t>
        </m:r>
      </m:oMath>
      <w:r>
        <w:t xml:space="preserve">), as in the reported fits, the normalization alone leaves the displayed objective unchanged.</w:t>
      </w:r>
    </w:p>
    <w:p>
      <w:pPr>
        <w:pStyle w:val="BodyText"/>
      </w:pPr>
      <m:oMath>
        <m:r>
          <m:t>β</m:t>
        </m:r>
      </m:oMath>
      <w:r>
        <w:t xml:space="preserve"> </w:t>
      </w:r>
      <w:r>
        <w:t xml:space="preserve">is then updated by Coxnet-style cyclic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 starting from the current raw coefficients after the normalization step and using the current</w:t>
      </w:r>
      <w:r>
        <w:t xml:space="preserve"> </w:t>
      </w:r>
      <m:oMath>
        <m:sSub>
          <m:e>
            <m:r>
              <m:t>D</m:t>
            </m:r>
          </m:e>
          <m:sub>
            <m:r>
              <m:t>Z</m:t>
            </m:r>
          </m:sub>
        </m:sSub>
      </m:oMath>
      <w:r>
        <w:t xml:space="preserve">. The scores are centered as well as standardized, which shifts the linear predictor by a common additive constant that cancels from the Cox partial likelihood. The coordinate descent weights its quadratic approximation of the partial likelihood by</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rather than the</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of the objective while penalizing</w:t>
      </w:r>
      <w:r>
        <w:t xml:space="preserve"> </w:t>
      </w:r>
      <m:oMath>
        <m:r>
          <m:t>b</m:t>
        </m:r>
      </m:oMath>
      <w:r>
        <w:t xml:space="preserve">, so within that parameterization the effective penalty is</w:t>
      </w:r>
      <w:r>
        <w:t xml:space="preserve"> </w:t>
      </w:r>
      <m:oMath>
        <m:r>
          <m:t>2</m:t>
        </m:r>
        <m:r>
          <m:t>λ</m:t>
        </m:r>
      </m:oMath>
      <w:r>
        <w:t xml:space="preserve">. Its proposal is accepted only if the evaluated objective does not increase (for</w:t>
      </w:r>
      <w:r>
        <w:t xml:space="preserve"> </w:t>
      </w:r>
      <m:oMath>
        <m:r>
          <m:t>α</m:t>
        </m:r>
        <m:r>
          <m:rPr>
            <m:sty m:val="p"/>
          </m:rPr>
          <m:t>&gt;</m:t>
        </m:r>
        <m:r>
          <m:t>0</m:t>
        </m:r>
      </m:oMath>
      <w:r>
        <w:t xml:space="preserve"> </w:t>
      </w:r>
      <w:r>
        <w:t xml:space="preserve">this is equivalent, with</w:t>
      </w:r>
      <w:r>
        <w:t xml:space="preserve"> </w:t>
      </w:r>
      <m:oMath>
        <m:r>
          <m:t>W</m:t>
        </m:r>
      </m:oMath>
      <w:r>
        <w:t xml:space="preserve"> </w:t>
      </w:r>
      <w:r>
        <w:t xml:space="preserve">and</w:t>
      </w:r>
      <w:r>
        <w:t xml:space="preserve"> </w:t>
      </w:r>
      <m:oMath>
        <m:r>
          <m:t>H</m:t>
        </m:r>
      </m:oMath>
      <w:r>
        <w:t xml:space="preserve"> </w:t>
      </w:r>
      <w:r>
        <w:t xml:space="preserve">fixed, to not increasing the penalized survival loss; at</w:t>
      </w:r>
      <w:r>
        <w:t xml:space="preserve"> </w:t>
      </w:r>
      <m:oMath>
        <m:r>
          <m:t>α</m:t>
        </m:r>
        <m:r>
          <m:rPr>
            <m:sty m:val="p"/>
          </m:rPr>
          <m:t>=</m:t>
        </m:r>
        <m:r>
          <m:t>0</m:t>
        </m:r>
      </m:oMath>
      <w:r>
        <w:t xml:space="preserve"> </w:t>
      </w:r>
      <w:r>
        <w:t xml:space="preserve">the full objective is independent of</w:t>
      </w:r>
      <w:r>
        <w:t xml:space="preserve"> </w:t>
      </w:r>
      <m:oMath>
        <m:r>
          <m:t>β</m:t>
        </m:r>
      </m:oMath>
      <w:r>
        <w:t xml:space="preserve">), which makes the</w:t>
      </w:r>
      <w:r>
        <w:t xml:space="preserve"> </w:t>
      </w:r>
      <m:oMath>
        <m:r>
          <m:t>β</m:t>
        </m:r>
      </m:oMath>
      <w:r>
        <w:t xml:space="preserve"> </w:t>
      </w:r>
      <w:r>
        <w:t xml:space="preserve">update non-increasing in that objective without establishing convergence to a conditional or joint optimum, and</w:t>
      </w:r>
      <w:r>
        <w:t xml:space="preserve"> </w:t>
      </w:r>
      <m:oMath>
        <m:r>
          <m:t>β</m:t>
        </m:r>
      </m:oMath>
      <w:r>
        <w:t xml:space="preserve"> </w:t>
      </w:r>
      <w:r>
        <w:t xml:space="preserve">is refit on the converged</w:t>
      </w:r>
      <w:r>
        <w:t xml:space="preserve"> </w:t>
      </w:r>
      <m:oMath>
        <m:r>
          <m:t>W</m:t>
        </m:r>
      </m:oMath>
      <w:r>
        <w:t xml:space="preserve"> </w:t>
      </w:r>
      <w:r>
        <w:t xml:space="preserve">at the end. The</w:t>
      </w:r>
      <w:r>
        <w:t xml:space="preserve"> </w:t>
      </w:r>
      <m:oMath>
        <m:r>
          <m:t>β</m:t>
        </m:r>
      </m:oMath>
      <w:r>
        <w:t xml:space="preserve"> </w:t>
      </w:r>
      <w:r>
        <w:t xml:space="preserve">block is therefore an approximate rather than exact conditional minimizer. Convergence of the outer loop is assessed by the change in</w:t>
      </w:r>
      <w:r>
        <w:t xml:space="preserve"> </w:t>
      </w:r>
      <m:oMath>
        <m:r>
          <m:t>W</m:t>
        </m:r>
      </m:oMath>
      <w:r>
        <w:t xml:space="preserve"> </w:t>
      </w:r>
      <w:r>
        <w:t xml:space="preserve">and</w:t>
      </w:r>
      <w:r>
        <w:t xml:space="preserve"> </w:t>
      </w:r>
      <m:oMath>
        <m:r>
          <m:t>H</m:t>
        </m:r>
      </m:oMath>
      <w:r>
        <w:t xml:space="preserve"> </w:t>
      </w:r>
      <w:r>
        <w:t xml:space="preserve">between successive iterations, not by the change in the objective. Iteration stops when the cosine change of both</w:t>
      </w:r>
      <w:r>
        <w:t xml:space="preserve"> </w:t>
      </w:r>
      <m:oMath>
        <m:r>
          <m:t>W</m:t>
        </m:r>
      </m:oMath>
      <w:r>
        <w:t xml:space="preserve"> </w:t>
      </w:r>
      <w:r>
        <w:t xml:space="preserve">and</w:t>
      </w:r>
      <w:r>
        <w:t xml:space="preserve"> </w:t>
      </w:r>
      <m:oMath>
        <m:r>
          <m:t>H</m:t>
        </m:r>
      </m:oMath>
      <w:r>
        <w:t xml:space="preserve"> </w:t>
      </w:r>
      <w:r>
        <w:t xml:space="preserve">falls below</w:t>
      </w:r>
      <w:r>
        <w:t xml:space="preserve"> </w:t>
      </w:r>
      <m:oMath>
        <m:sSup>
          <m:e>
            <m:r>
              <m:t>10</m:t>
            </m:r>
          </m:e>
          <m:sup>
            <m:r>
              <m:rPr>
                <m:sty m:val="p"/>
              </m:rPr>
              <m:t>−</m:t>
            </m:r>
            <m:r>
              <m:t>7</m:t>
            </m:r>
          </m:sup>
        </m:sSup>
      </m:oMath>
      <w:r>
        <w:t xml:space="preserve"> </w:t>
      </w:r>
      <w:r>
        <w:t xml:space="preserve">for the restart and final fits, and below</w:t>
      </w:r>
      <w:r>
        <w:t xml:space="preserve"> </w:t>
      </w:r>
      <m:oMath>
        <m:sSup>
          <m:e>
            <m:r>
              <m:t>10</m:t>
            </m:r>
          </m:e>
          <m:sup>
            <m:r>
              <m:rPr>
                <m:sty m:val="p"/>
              </m:rPr>
              <m:t>−</m:t>
            </m:r>
            <m:r>
              <m:t>5</m:t>
            </m:r>
          </m:sup>
        </m:sSup>
      </m:oMath>
      <w:r>
        <w:t xml:space="preserve"> </w:t>
      </w:r>
      <w:r>
        <w:t xml:space="preserve">for the cross-validation fits inside the hyperparameter search, or after 4,000 iterations; cosine change is defined in Supplementary Information, Optimization Algorithm. The reported fits were produced by this implementation; the nominal tuning parameters are reported together with the implemented scaling and standardization conventions.</w:t>
      </w:r>
    </w:p>
    <w:p>
      <w:pPr>
        <w:pStyle w:val="BodyText"/>
      </w:pPr>
      <w:r>
        <w:t xml:space="preserve">Because the implemented algorithm combines normalization, gradient rescaling and a Coxnet approximation, we assessed optimization behavior empirically rather than relying on a formal convergence guarantee. Across 100 independent random initializations of the reported PDAC model, every run terminated on the stopping criterion rather than the iteration cap, and none failed numerically (median 38 iterations, range 17–233; Supplementary Information, Empirical optimization stability). The recorded outer-loop objective decreased monotonically. Monotone decrease together with the cosine stopping rule is what these runs establish, and they are checks on the optimizer rather than on which programs it recovers. Closed-form update equations are given in Supplementary Information, Model details and Optimization Algorithm, and Bayesian-optimization control parameters in Bayesian Optimization.</w:t>
      </w:r>
    </w:p>
    <w:bookmarkEnd w:id="46"/>
    <w:bookmarkStart w:id="47"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objective was the mean 5-fold cross-validated C-index, with folds constructed separately within each training cohort and stratified by event status under a fixed seed (123). Each configuration was evaluated from 30 random initializations at the cross-validation stopping tolerance</w:t>
      </w:r>
      <w:r>
        <w:t xml:space="preserve"> </w:t>
      </w:r>
      <m:oMath>
        <m:sSup>
          <m:e>
            <m:r>
              <m:t>10</m:t>
            </m:r>
          </m:e>
          <m:sup>
            <m:r>
              <m:rPr>
                <m:sty m:val="p"/>
              </m:rPr>
              <m:t>−</m:t>
            </m:r>
            <m:r>
              <m:t>5</m:t>
            </m:r>
          </m:sup>
        </m:sSup>
      </m:oMath>
      <w:r>
        <w:t xml:space="preserve">, and its C-index averaged over initializations and folds. The search used an initial design of 50 evaluations followed by 100 Gaussian-process-guided evaluations; search bounds, acquisition settings and parameter transformations are given in Supplementary Information, Bayesian Optimization.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best observed configuration’s mean, and the smallest rank whose retained configuration met the threshold was selected; the remaining hyperparameters were those of the best observed configuration (Supplementary Information, Bayesian Optimization). The best observed configuration had mean cross-validated C-index 0.655 (fold-level SE 0.011) at</w:t>
      </w:r>
      <w:r>
        <w:t xml:space="preserve"> </w:t>
      </w:r>
      <m:oMath>
        <m:r>
          <m:t>k</m:t>
        </m:r>
        <m:r>
          <m:rPr>
            <m:sty m:val="p"/>
          </m:rPr>
          <m:t>=</m:t>
        </m:r>
        <m:r>
          <m:t>7</m:t>
        </m:r>
      </m:oMath>
      <w:r>
        <w:t xml:space="preserve">, giving a threshold of 0.644, and the best configuration observed at</w:t>
      </w:r>
      <w:r>
        <w:t xml:space="preserve"> </w:t>
      </w:r>
      <m:oMath>
        <m:r>
          <m:t>k</m:t>
        </m:r>
        <m:r>
          <m:rPr>
            <m:sty m:val="p"/>
          </m:rPr>
          <m:t>=</m:t>
        </m:r>
        <m:r>
          <m:t>3</m:t>
        </m:r>
      </m:oMath>
      <w:r>
        <w:t xml:space="preserve"> </w:t>
      </w:r>
      <w:r>
        <w:t xml:space="preserve">reached 0.646 and was therefore eligible. All model selection was performed entirely within the training data using cross-validation; no validation cohort data were used during any stage of tuning, and out-of-sample generalization was assessed only on the external validation cohorts. The consensus initialization described next was used only for the final model and is not reproduced within each fold.</w:t>
      </w:r>
    </w:p>
    <w:p>
      <w:pPr>
        <w:pStyle w:val="BodyText"/>
      </w:pPr>
      <w:r>
        <w:t xml:space="preserve">Because this rule combined</w:t>
      </w:r>
      <w:r>
        <w:t xml:space="preserve"> </w:t>
      </w:r>
      <m:oMath>
        <m:r>
          <m:t>k</m:t>
        </m:r>
        <m:r>
          <m:rPr>
            <m:sty m:val="p"/>
          </m:rPr>
          <m:t>=</m:t>
        </m:r>
        <m:r>
          <m:t>3</m:t>
        </m:r>
      </m:oMath>
      <w:r>
        <w:t xml:space="preserve"> </w:t>
      </w:r>
      <w:r>
        <w:t xml:space="preserve">with the non-rank hyperparameters of the best observed configuration, a configuration not itself evaluated in the search, we ran a sensitivity check on rank selection using the same training data and selected non-rank hyperparameters. That check is an exhaustive grid over ranks</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t>
      </w:r>
      <w:r>
        <w:t xml:space="preserve">and supervision strengths</w:t>
      </w:r>
      <w:r>
        <w:t xml:space="preserve"> </w:t>
      </w:r>
      <m:oMath>
        <m:r>
          <m:t>α</m:t>
        </m:r>
      </m:oMath>
      <w:r>
        <w:t xml:space="preserve">, 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retained values, and is restricted throughout to</w:t>
      </w:r>
      <w:r>
        <w:t xml:space="preserve"> </w:t>
      </w:r>
      <m:oMath>
        <m:sSub>
          <m:e>
            <m:r>
              <m:t>n</m:t>
            </m:r>
          </m:e>
          <m:sub>
            <m:r>
              <m:rPr>
                <m:nor/>
                <m:sty m:val="p"/>
              </m:rPr>
              <m:t>top</m:t>
            </m:r>
          </m:sub>
        </m:sSub>
        <m:r>
          <m:rPr>
            <m:sty m:val="p"/>
          </m:rPr>
          <m:t>=</m:t>
        </m:r>
        <m:r>
          <m:t>270</m:t>
        </m:r>
      </m:oMath>
      <w:r>
        <w:t xml:space="preserve">. Applying the same one-standard-error rule to that grid also selects</w:t>
      </w:r>
      <w:r>
        <w:t xml:space="preserve"> </w:t>
      </w:r>
      <m:oMath>
        <m:r>
          <m:t>k</m:t>
        </m:r>
        <m:r>
          <m:rPr>
            <m:sty m:val="p"/>
          </m:rPr>
          <m:t>=</m:t>
        </m:r>
        <m:r>
          <m:t>3</m:t>
        </m:r>
      </m:oMath>
      <w:r>
        <w:t xml:space="preserve">. Within its</w:t>
      </w:r>
      <w:r>
        <w:t xml:space="preserve"> </w:t>
      </w:r>
      <m:oMath>
        <m:r>
          <m:t>k</m:t>
        </m:r>
        <m:r>
          <m:rPr>
            <m:sty m:val="p"/>
          </m:rPr>
          <m:t>=</m:t>
        </m:r>
        <m:r>
          <m:t>3</m:t>
        </m:r>
      </m:oMath>
      <w:r>
        <w:t xml:space="preserve"> </w:t>
      </w:r>
      <w:r>
        <w:t xml:space="preserve">slice, the nearest evaluated supervision level,</w:t>
      </w:r>
      <w:r>
        <w:t xml:space="preserve"> </w:t>
      </w:r>
      <m:oMath>
        <m:r>
          <m:t>α</m:t>
        </m:r>
        <m:r>
          <m:rPr>
            <m:sty m:val="p"/>
          </m:rPr>
          <m:t>=</m:t>
        </m:r>
        <m:r>
          <m:t>0.35</m:t>
        </m:r>
      </m:oMath>
      <w:r>
        <w:t xml:space="preserve">, gave a mean cross-validated C-index of 0.656 (SE 0.010). That value clears the Bayesian-optimization threshold of 0.644 but not the grid’s own one-standard-error threshold of 0.662, which is set by the grid’s best rank,</w:t>
      </w:r>
      <w:r>
        <w:t xml:space="preserve"> </w:t>
      </w:r>
      <m:oMath>
        <m:r>
          <m:t>k</m:t>
        </m:r>
        <m:r>
          <m:rPr>
            <m:sty m:val="p"/>
          </m:rPr>
          <m:t>=</m:t>
        </m:r>
        <m:r>
          <m:t>9</m:t>
        </m:r>
      </m:oMath>
      <w:r>
        <w:t xml:space="preserve"> </w:t>
      </w:r>
      <w:r>
        <w:t xml:space="preserve">(Supplementary Information, Bayesian Optimization and Cross-validated C-index across factorization rank). That grid point is a sensitivity check at a nearby</w:t>
      </w:r>
      <w:r>
        <w:t xml:space="preserve"> </w:t>
      </w:r>
      <m:oMath>
        <m:r>
          <m:t>α</m:t>
        </m:r>
      </m:oMath>
      <w:r>
        <w:t xml:space="preserve">, not the cross-validated performance of the final configuration itself.</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On the sensitivity grid,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 best observed configuration. Reference-program correspondence and the GATA6 comparison support biological interpretation of the selected programs; they do not establish a uniquely correct rank.</w:t>
      </w:r>
    </w:p>
    <w:bookmarkEnd w:id="47"/>
    <w:bookmarkStart w:id="48" w:name="Xbdce6b91f711f953a81a9683ed715f043d727c7"/>
    <w:p>
      <w:pPr>
        <w:pStyle w:val="Heading2"/>
      </w:pPr>
      <w:r>
        <w:t xml:space="preserve">Consensus initialization and program stability</w:t>
      </w:r>
    </w:p>
    <w:p>
      <w:pPr>
        <w:pStyle w:val="FirstParagraph"/>
      </w:pPr>
      <w:r>
        <w:t xml:space="preserve">At the selected hyperparameters, 100 fits from independent random initializations were aggregated into a gene-by-gene co-occurrence matrix, recording how often each pair of genes appeared together among the top genes of the same program, ranked by factor specificity. Genes reaching a top set in fewer than 30 of the runs were treated as inactive and excluded; the remaining genes were partitioned into</w:t>
      </w:r>
      <w:r>
        <w:t xml:space="preserve"> </w:t>
      </w:r>
      <m:oMath>
        <m:r>
          <m:t>k</m:t>
        </m:r>
      </m:oMath>
      <w:r>
        <w:t xml:space="preserve"> </w:t>
      </w:r>
      <w:r>
        <w:t xml:space="preserve">groups by average-linkage hierarchical clustering, each cluster defining one column of the initialization</w:t>
      </w:r>
      <w:r>
        <w:t xml:space="preserve"> </w:t>
      </w:r>
      <m:oMath>
        <m:sSub>
          <m:e>
            <m:r>
              <m:t>W</m:t>
            </m:r>
          </m:e>
          <m:sub>
            <m:r>
              <m:t>0</m:t>
            </m:r>
          </m:sub>
        </m:sSub>
      </m:oMath>
      <w:r>
        <w:t xml:space="preserve">, with inactive and otherwise empty entries set to a small positive floor. The loadings were initialized by nonnegative least squares given</w:t>
      </w:r>
      <w:r>
        <w:t xml:space="preserve"> </w:t>
      </w:r>
      <m:oMath>
        <m:sSub>
          <m:e>
            <m:r>
              <m:t>W</m:t>
            </m:r>
          </m:e>
          <m:sub>
            <m:r>
              <m:t>0</m:t>
            </m:r>
          </m:sub>
        </m:sSub>
      </m:oMath>
      <w:r>
        <w:t xml:space="preserve">, and the initial Cox coefficients were set to zero; the final model was then fit once from that initialization. Because the consensus is built from gene-by-gene co-occurrence, it is invariant to factor-label permutation and requires no alignment of labels across runs (Supplementary Information, Consensus initialization for the final model).</w:t>
      </w:r>
    </w:p>
    <w:p>
      <w:pPr>
        <w:pStyle w:val="BodyText"/>
      </w:pPr>
      <w:r>
        <w:t xml:space="preserve">We assessed program stability by partitioning the cached restart pool into disjoint halves and constructing a consensus initialization and final fit from each half. Across 8 random splits, median agreement with the reported basis was 0.97–0.99 for gene-loading correlations and 0.73–0.88 for top-ranked-gene Jaccard overlap across the three programs. These comparisons assess sensitivity to restart-pool composition within the training data, rather than independent repetition of the full procedure (Supplementary Information, Stability of the recovered gene programs). That section also reports stability under patient subsampling, a separate and weaker property.</w:t>
      </w:r>
    </w:p>
    <w:bookmarkEnd w:id="48"/>
    <w:bookmarkStart w:id="49" w:name="frozen-gene-program-and-risk-scoring"/>
    <w:p>
      <w:pPr>
        <w:pStyle w:val="Heading2"/>
      </w:pPr>
      <w:r>
        <w:t xml:space="preserve">Frozen gene-program and risk scoring</w:t>
      </w:r>
    </w:p>
    <w:p>
      <w:pPr>
        <w:pStyle w:val="FirstParagraph"/>
      </w:pPr>
      <w:r>
        <w:t xml:space="preserve">Scoring uses a truncated copy of the fitted basis. Within each program the genes were ranked by factor specificity (Supplementary Information, Gene Program Correlation Analysis) and the top</w:t>
      </w:r>
      <w:r>
        <w:t xml:space="preserve"> </w:t>
      </w:r>
      <m:oMath>
        <m:sSub>
          <m:e>
            <m:r>
              <m:t>n</m:t>
            </m:r>
          </m:e>
          <m:sub>
            <m:r>
              <m:rPr>
                <m:nor/>
                <m:sty m:val="p"/>
              </m:rPr>
              <m:t>top</m:t>
            </m:r>
          </m:sub>
        </m:sSub>
        <m:r>
          <m:rPr>
            <m:sty m:val="p"/>
          </m:rPr>
          <m:t>=</m:t>
        </m:r>
        <m:r>
          <m:t>270</m:t>
        </m:r>
      </m:oMath>
      <w:r>
        <w:t xml:space="preserve"> </w:t>
      </w:r>
      <w:r>
        <w:t xml:space="preserve">retained; the gene support for scoring is the union of the</w:t>
      </w:r>
      <w:r>
        <w:t xml:space="preserve"> </w:t>
      </w:r>
      <m:oMath>
        <m:r>
          <m:t>k</m:t>
        </m:r>
      </m:oMath>
      <w:r>
        <w:t xml:space="preserve"> </w:t>
      </w:r>
      <w:r>
        <w:t xml:space="preserve">programs’ top sets, giving the truncated matrix</w:t>
      </w:r>
      <w:r>
        <w:t xml:space="preserve"> </w:t>
      </w:r>
      <m:oMath>
        <m:acc>
          <m:accPr>
            <m:chr m:val="̃"/>
          </m:accPr>
          <m:e>
            <m:r>
              <m:t>W</m:t>
            </m:r>
          </m:e>
        </m:acc>
      </m:oMath>
      <w:r>
        <w:t xml:space="preserve"> </w:t>
      </w:r>
      <w:r>
        <w:t xml:space="preserve">that was held fixed for every validation and treated cohort. All columns retain their weights on the same union of gene rows, and truncated columns are not renormalized. This union construction defines the primary external-validation scores, including the headline, leave-one-dataset-out and classifier-adjusted risk-score analyses, and it is the construction that cross-validation evaluated when selecting</w:t>
      </w:r>
      <w:r>
        <w:t xml:space="preserve"> </w:t>
      </w:r>
      <m:oMath>
        <m:sSub>
          <m:e>
            <m:r>
              <m:t>n</m:t>
            </m:r>
          </m:e>
          <m:sub>
            <m:r>
              <m:rPr>
                <m:nor/>
                <m:sty m:val="p"/>
              </m:rPr>
              <m:t>top</m:t>
            </m:r>
          </m:sub>
        </m:sSub>
      </m:oMath>
      <w:r>
        <w:t xml:space="preserve">. Genes outside the union still shape the factorization but do not enter the linear predictor. Other analyses use explicitly identified scoring constructions, namely full-support scores for the training-data contribution analysis and for the frozen-axis comparator analysis, and per-program masks for the tuned supervised-comparator analysis and for the Supplementary Information analyses that identify them. Both supervised-comparator constructions, the one on the full shared support and the one on per-program masks, also refit unpenalized Cox coefficients on the training scores. Treated-cohort preprocessing and missing-gene handling are described separately below.</w:t>
      </w:r>
    </w:p>
    <w:p>
      <w:pPr>
        <w:pStyle w:val="BodyText"/>
      </w:pPr>
      <w:r>
        <w:t xml:space="preserve">Factor-level scores retain all</w:t>
      </w:r>
      <w:r>
        <w:t xml:space="preserve"> </w:t>
      </w:r>
      <m:oMath>
        <m:r>
          <m:t>k</m:t>
        </m:r>
      </m:oMath>
      <w:r>
        <w:t xml:space="preserve"> </w:t>
      </w:r>
      <w:r>
        <w:t xml:space="preserve">columns of the truncated basis,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the risk score is</w:t>
      </w:r>
      <w:r>
        <w:t xml:space="preserve"> </w:t>
      </w:r>
      <m:oMath>
        <m:r>
          <m:t>η</m:t>
        </m:r>
        <m:r>
          <m:rPr>
            <m:sty m:val="p"/>
          </m:rPr>
          <m:t>=</m:t>
        </m:r>
        <m:sSup>
          <m:e>
            <m:r>
              <m:t>Z</m:t>
            </m:r>
          </m:e>
          <m:sup>
            <m:r>
              <m:rPr>
                <m:sty m:val="p"/>
              </m:rPr>
              <m:t>⊤</m:t>
            </m:r>
          </m:sup>
        </m:sSup>
        <m:r>
          <m:t>β</m:t>
        </m:r>
      </m:oMath>
      <w:r>
        <w:t xml:space="preserve">.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which changes the resulting scalar risk score only by a positive multiplicative constant.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on the union support</w:t>
      </w:r>
      <w:r>
        <w:t xml:space="preserve"> </w:t>
      </w:r>
      <m:oMath>
        <m:acc>
          <m:accPr>
            <m:chr m:val="̃"/>
          </m:accPr>
          <m:e>
            <m:r>
              <m:t>W</m:t>
            </m:r>
          </m:e>
        </m:acc>
      </m:oMath>
      <w:r>
        <w:t xml:space="preserve">;</w:t>
      </w:r>
      <w:r>
        <w:t xml:space="preserve"> </w:t>
      </w:r>
      <m:oMath>
        <m:r>
          <m:t>β</m:t>
        </m:r>
      </m:oMath>
      <w:r>
        <w:t xml:space="preserve"> </w:t>
      </w:r>
      <w:r>
        <w:t xml:space="preserve">was not refit after truncation. The elastic-net penalty set the D2 coefficient to exactly zero, so the frozen risk score is a weighted combination of D1 and D3.</w:t>
      </w:r>
    </w:p>
    <w:bookmarkEnd w:id="49"/>
    <w:bookmarkStart w:id="50" w:name="unsupervised-and-supervised-comparators"/>
    <w:p>
      <w:pPr>
        <w:pStyle w:val="Heading2"/>
      </w:pPr>
      <w:r>
        <w:t xml:space="preserve">Unsupervised and supervised comparators</w:t>
      </w:r>
    </w:p>
    <w:p>
      <w:pPr>
        <w:pStyle w:val="FirstParagraph"/>
      </w:pPr>
      <w:r>
        <w:t xml:space="preserve">The matched-rank comparator shown in the figure is Lee multiplicative NMF (</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 thirty with the lowest reconstruction residual, followed by a post hoc Cox fit on its factor scores),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matched to the supervised search on optimizer, search budget, gene filter, cross-validation folds, consensus procedure and stopping settings. The selected model was then fit by the same 100-restart consensus procedure. This control isolates removal of survival supervision at the pipeline level, with the remaining hyperparameters re-optimized rather than held numerically fixed. A second, rank-optimized control let Bayesian optimization choose the rank at</w:t>
      </w:r>
      <w:r>
        <w:t xml:space="preserve"> </w:t>
      </w:r>
      <m:oMath>
        <m:r>
          <m:t>α</m:t>
        </m:r>
        <m:r>
          <m:rPr>
            <m:sty m:val="p"/>
          </m:rPr>
          <m:t>=</m:t>
        </m:r>
        <m:r>
          <m:t>0</m:t>
        </m:r>
      </m:oMath>
      <w:r>
        <w:t xml:space="preserve"> </w:t>
      </w:r>
      <w:r>
        <w:t xml:space="preserve">as well, and the same one-standard-error rule applied to those results selected</w:t>
      </w:r>
      <w:r>
        <w:t xml:space="preserve"> </w:t>
      </w:r>
      <m:oMath>
        <m:r>
          <m:t>k</m:t>
        </m:r>
        <m:r>
          <m:rPr>
            <m:sty m:val="p"/>
          </m:rPr>
          <m:t>=</m:t>
        </m:r>
        <m:r>
          <m:t>7</m:t>
        </m:r>
      </m:oMath>
      <w:r>
        <w:t xml:space="preserve"> </w:t>
      </w:r>
      <w:r>
        <w:t xml:space="preserve">(Supplementary Information, Factor structure of the rank-optimized unsupervised control).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All three controls are reported in Supplementary Information, Matched-budget unsupervised control at the same rank.</w:t>
      </w:r>
    </w:p>
    <w:p>
      <w:pPr>
        <w:pStyle w:val="BodyText"/>
      </w:pPr>
      <w:r>
        <w:t xml:space="preserve">The primary factorization comparison used a common number of top genes per program when constructing each model’s scoring union. Total union size can still differ with rank and overlap among programs. Both unsupervised controls were therefore scored externally at the supervised model’s</w:t>
      </w:r>
      <w:r>
        <w:t xml:space="preserve"> </w:t>
      </w:r>
      <m:oMath>
        <m:sSub>
          <m:e>
            <m:r>
              <m:t>n</m:t>
            </m:r>
          </m:e>
          <m:sub>
            <m:r>
              <m:rPr>
                <m:nor/>
                <m:sty m:val="p"/>
              </m:rPr>
              <m:t>top</m:t>
            </m:r>
          </m:sub>
        </m:sSub>
        <m:r>
          <m:rPr>
            <m:sty m:val="p"/>
          </m:rPr>
          <m:t>=</m:t>
        </m:r>
        <m:r>
          <m:t>270</m:t>
        </m:r>
      </m:oMath>
      <w:r>
        <w:t xml:space="preserve"> </w:t>
      </w:r>
      <w:r>
        <w:t xml:space="preserve">rather than at their own tuning-selected values, which were 299 for the matched-rank control and 187 for the rank-optimized control. Scoring the matched-rank control at its own selected value instead changes no per-dataset C-index by more than 0.007 (Supplementary Information, Matched-budget unsupervised control at the same rank).</w:t>
      </w:r>
    </w:p>
    <w:p>
      <w:pPr>
        <w:pStyle w:val="BodyText"/>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12 resampling seeds, sparse Cox selected a median of 14 genes, range 9–33, and supervised principal components 39, range 5–222), and both were tuned by their standard method-specific cross-validation rather than a budget matched to DeSurv. For this comparison DeSurv’s program scores used per-program top-</w:t>
      </w:r>
      <m:oMath>
        <m:sSub>
          <m:e>
            <m:r>
              <m:t>n</m:t>
            </m:r>
          </m:e>
          <m:sub>
            <m:r>
              <m:rPr>
                <m:nor/>
                <m:sty m:val="p"/>
              </m:rPr>
              <m:t>top</m:t>
            </m:r>
          </m:sub>
        </m:sSub>
      </m:oMath>
      <w:r>
        <w:t xml:space="preserve"> </w:t>
      </w:r>
      <w:r>
        <w:t xml:space="preserve">masks rather than the union support, and the Cox weights combining the three program scores were re-estimated without penalty on the training scores, so that all three methods enter as training-fitted linear scores. The comparison evaluates method-specific representations and predictive performance, without matching tuning budgets. A separate exploratory comparison used restricted supervised principal components, Cox partial least squares and a single sparse Cox fit (Supplementary Information, The D1 axis is not specific to DeSurv).</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50"/>
    <w:bookmarkStart w:id="51" w:name="Xd3d239ff07d74f694934d7759f77f1b836e1757"/>
    <w:p>
      <w:pPr>
        <w:pStyle w:val="Heading2"/>
      </w:pPr>
      <w:r>
        <w:t xml:space="preserve">Biological correspondence and factor contributions</w:t>
      </w:r>
    </w:p>
    <w:p>
      <w:pPr>
        <w:pStyle w:val="FirstParagraph"/>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Two per-factor contribution measures are reported alongside this correspondence. Reconstruction shares are exact Shapley values over subsets of the fixed rank-one factor contributions, computed without refitting the factorization, and each subset’s value is its reconstruction gain relative to the zero-factor reconstruction; the shares are normalized to sum to 100%. The separately reported centered</w:t>
      </w:r>
      <w:r>
        <w:t xml:space="preserve"> </w:t>
      </w:r>
      <m:oMath>
        <m:sSup>
          <m:e>
            <m:r>
              <m:t>R</m:t>
            </m:r>
          </m:e>
          <m:sup>
            <m:r>
              <m:t>2</m:t>
            </m:r>
          </m:sup>
        </m:sSup>
      </m:oMath>
      <w:r>
        <w:t xml:space="preserve"> </w:t>
      </w:r>
      <w:r>
        <w:t xml:space="preserve">instead takes the grand mean of the analysis matrix as its reference. Reconstruction gain and centered</w:t>
      </w:r>
      <w:r>
        <w:t xml:space="preserve"> </w:t>
      </w:r>
      <m:oMath>
        <m:sSup>
          <m:e>
            <m:r>
              <m:t>R</m:t>
            </m:r>
          </m:e>
          <m:sup>
            <m:r>
              <m:t>2</m:t>
            </m:r>
          </m:sup>
        </m:sSup>
      </m:oMath>
      <w:r>
        <w:t xml:space="preserve"> </w:t>
      </w:r>
      <w:r>
        <w:t xml:space="preserve">describe different aspects of reconstruction and should not be interpreted as interchangeable measures. Survival contributions are the loss in maximized unpenalized Cox partial log-likelihood between a model on all factor scores and a model refitted after omitting one factor, computed from full-support training scores; these conditional increments are nonadditive and are not changes in the trained penalized DeSurv predictor. Because the programs were estimated from the same training outcomes, both measures are descriptive rather than independent tests of prognosis (Supplementary Information, Reconstruction and Survival Contribution per Factor).</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51"/>
    <w:bookmarkStart w:id="52" w:name="Xc6cdaaedd08fffd54565f906bd3987bb8958945"/>
    <w:p>
      <w:pPr>
        <w:pStyle w:val="Heading2"/>
      </w:pPr>
      <w:r>
        <w:t xml:space="preserve">External validation and survival analysis</w:t>
      </w:r>
    </w:p>
    <w:p>
      <w:pPr>
        <w:pStyle w:val="FirstParagraph"/>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Analyses combining validation datasets represented each patient once and used Cox models stratified by dataset, so that each dataset carries its own baseline hazard. PurIST and DeCAF calls entered only as fixed adjustment covariates and were never inputs to the factorization or to tuning. For a fixed fitted predictor and scoring support, the manuscript uses the following reporting scalings. Primary risk-score hazard ratios, comprising the headline estimate, the covariate-adjusted estimates and the leave-one-dataset-out estimates, are expressed per standard deviation of the linear predictor over the pooled de-duplicated validation set. The per-factor forest estimates and the D1 classifier-adjustment analysis instead standardize each score within validation dataset, whereas the between-cohort slope analysis standardizes within patient cohort, so hazard ratios under these scalings are not interchangeable. Within a given cohort or dataset, centering and positive rescaling of a fixed score leave its C-index unchanged. Discrimination was summarized as the event-weighted mean of the four cohort C-indices, so no concordance pair spans two cohorts, with percentile confidence intervals from 1,000 bootstrap resamples of patients drawn within cohort (seed 1); resampling preserves cohort membership. Cohort-specific slopes were compared with a common slope by likelihood-ratio test, and proportional hazards were assessed from scaled Schoenfeld residuals. Because the association attenuated over follow-up, the pooled hazard ratio is a time-averaged summary.</w:t>
      </w:r>
    </w:p>
    <w:p>
      <w:pPr>
        <w:pStyle w:val="BodyText"/>
      </w:pPr>
      <w:r>
        <w:t xml:space="preserve">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computed by recalibrating only the frozen score’s scalar slope and baseline hazard within each validation dataset and integrating to the 80th percentile of that dataset’s event times. These are apparent, in-sample recalibrated values rather than out-of-sample prediction error, and because each validation dataset is integrated over its own horizon the pooled figure is a descriptive event-weighted summary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DeSurv scores new samples by multiplication with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without using their survival outcomes.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a new sample needs loadings of its own. SurvNMF documents such a step, obtaining them for held-out samples by a constrained least-squares fit; that step holds the gene basis fixed and needs neither relearning of the basis nor validation survival outcomes, so it is an additional fitting step at transfer rather than a leak. CoxNMF’s published description does not specify a new-sample scoring procedure (Supplementary Table [tab:architecture]). Sample-side supervision can nonetheless influence the basis indirectly, through the alternating reconstruction updates. External survival outcomes were used to estimate associations and evaluate performance, including the separately described recalibration analysis, rather than to learn or tune the primary programs or risk score. Further training and validation details appear in Supplementary Information, Part I.</w:t>
      </w:r>
    </w:p>
    <w:bookmarkEnd w:id="52"/>
    <w:bookmarkStart w:id="53"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background that is excluded from the survival-generating gene set,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signal excluded from the survival-generating gene set is the shared background block, which loads on every factor, so the factor-specific marker genes that carry survival contribute less of the total expression variation than that block. Because the background genes load on the same latent activities as the markers, their expression remains correlated with the linear predictor;</w:t>
      </w:r>
      <w:r>
        <w:t xml:space="preserve"> </w:t>
      </w:r>
      <w:r>
        <w:t xml:space="preserve">“</w:t>
      </w:r>
      <w:r>
        <w:t xml:space="preserve">background</w:t>
      </w:r>
      <w:r>
        <w:t xml:space="preserve">”</w:t>
      </w:r>
      <w:r>
        <w:t xml:space="preserve"> </w:t>
      </w:r>
      <w:r>
        <w:t xml:space="preserve">here denotes exclusion from the survival-generating gene set, not statistical independence of outcome. The expression matrix actually analyzed was not the noise-free product</w:t>
      </w:r>
      <w:r>
        <w:t xml:space="preserve"> </w:t>
      </w:r>
      <m:oMath>
        <m:r>
          <m:t>W</m:t>
        </m:r>
        <m:r>
          <m:t>H</m:t>
        </m:r>
      </m:oMath>
      <w:r>
        <w:t xml:space="preserve">: a per-gene baseline drawn as</w:t>
      </w:r>
      <w:r>
        <w:t xml:space="preserve"> </w:t>
      </w:r>
      <m:oMath>
        <m:r>
          <m:rPr>
            <m:sty m:val="p"/>
            <m:scr m:val="script"/>
          </m:rPr>
          <m:t>N</m:t>
        </m:r>
        <m:d>
          <m:dPr>
            <m:begChr m:val="("/>
            <m:endChr m:val=")"/>
            <m:sepChr m:val=""/>
            <m:grow/>
          </m:dPr>
          <m:e>
            <m:r>
              <m:t>3</m:t>
            </m:r>
            <m:r>
              <m:rPr>
                <m:sty m:val="p"/>
              </m:rPr>
              <m:t>,</m:t>
            </m:r>
            <m:r>
              <m:t>1</m:t>
            </m:r>
          </m:e>
        </m:d>
      </m:oMath>
      <w:r>
        <w:t xml:space="preserve"> </w:t>
      </w:r>
      <w:r>
        <w:t xml:space="preserve">was added to every row, independent Gaussian noise with standard deviation</w:t>
      </w:r>
      <w:r>
        <w:t xml:space="preserve"> </w:t>
      </w:r>
      <m:oMath>
        <m:r>
          <m:t>0.01</m:t>
        </m:r>
      </m:oMath>
      <w:r>
        <w:t xml:space="preserve"> </w:t>
      </w:r>
      <w:r>
        <w:t xml:space="preserve">was added to every entry, and negative values were clipped to zero.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which otherwise used the same baseline hazard parameter and censoring rate as the prognostic scenario. The mixed scenario differs from the prognostic scenario only in its survival gene set, 300 genes per column of the survival-generating weight matrix</w:t>
      </w:r>
      <w:r>
        <w:t xml:space="preserve"> </w:t>
      </w:r>
      <m:oMath>
        <m:sSup>
          <m:e>
            <m:r>
              <m:t>W</m:t>
            </m:r>
          </m:e>
          <m:sup>
            <m:r>
              <m:rPr>
                <m:sty m:val="p"/>
              </m:rPr>
              <m:t>*</m:t>
            </m:r>
          </m:sup>
        </m:sSup>
      </m:oMath>
      <w:r>
        <w:t xml:space="preserve">, comprising the 150 markers of that factor and 150 randomly sampled background genes, which creates partial overlap between the prognostic signal and the variance-dominant background.</w:t>
      </w:r>
    </w:p>
    <w:p>
      <w:pPr>
        <w:pStyle w:val="BodyText"/>
      </w:pPr>
      <w:r>
        <w:t xml:space="preserve">Survival times were generated from an exponential distribution, from the noise-free expression only. Let</w:t>
      </w:r>
      <w:r>
        <w:t xml:space="preserve"> </w:t>
      </w:r>
      <m:oMath>
        <m:sSub>
          <m:e>
            <m:r>
              <m:t>X</m:t>
            </m:r>
          </m:e>
          <m:sub>
            <m:r>
              <m:t>0</m:t>
            </m:r>
          </m:sub>
        </m:sSub>
        <m:r>
          <m:rPr>
            <m:sty m:val="p"/>
          </m:rPr>
          <m:t>=</m:t>
        </m:r>
        <m:r>
          <m:t>W</m:t>
        </m:r>
        <m:r>
          <m:t>H</m:t>
        </m:r>
      </m:oMath>
      <w:r>
        <w:t xml:space="preserve"> </w:t>
      </w:r>
      <w:r>
        <w:t xml:space="preserve">denote that noise-free matrix and</w:t>
      </w:r>
      <w:r>
        <w:t xml:space="preserve"> </w:t>
      </w:r>
      <m:oMath>
        <m:sSup>
          <m:e>
            <m:r>
              <m:t>W</m:t>
            </m:r>
          </m:e>
          <m:sup>
            <m:r>
              <m:rPr>
                <m:sty m:val="p"/>
              </m:rPr>
              <m:t>*</m:t>
            </m:r>
          </m:sup>
        </m:sSup>
      </m:oMath>
      <w:r>
        <w:t xml:space="preserve"> </w:t>
      </w:r>
      <w:r>
        <w:t xml:space="preserve">the survival-generating weight matrix, a masked copy of the column-normalized</w:t>
      </w:r>
      <w:r>
        <w:t xml:space="preserve"> </w:t>
      </w:r>
      <m:oMath>
        <m:r>
          <m:t>W</m:t>
        </m:r>
      </m:oMath>
      <w:r>
        <w:t xml:space="preserve"> </w:t>
      </w:r>
      <w:r>
        <w:t xml:space="preserve">that retains, in each column, only the loadings of that factor’s survival-generating genes and is zero elsewhere: the 150 markers of that factor in the prognostic and null scenarios, and 150 markers plus 150 background genes in the mixed scenario. The raw generating scores were</w:t>
      </w:r>
      <w:r>
        <w:t xml:space="preserve"> </w:t>
      </w:r>
      <m:oMath>
        <m:sSub>
          <m:e>
            <m:r>
              <m:t>Z</m:t>
            </m:r>
          </m:e>
          <m:sub>
            <m:r>
              <m:rPr>
                <m:nor/>
                <m:sty m:val="p"/>
              </m:rPr>
              <m:t>raw</m:t>
            </m:r>
          </m:sub>
        </m:sSub>
        <m:r>
          <m:rPr>
            <m:sty m:val="p"/>
          </m:rPr>
          <m:t>=</m:t>
        </m:r>
        <m:sSubSup>
          <m:e>
            <m:r>
              <m:t>X</m:t>
            </m:r>
          </m:e>
          <m:sub>
            <m:r>
              <m:t>0</m:t>
            </m:r>
          </m:sub>
          <m:sup>
            <m:r>
              <m:rPr>
                <m:sty m:val="p"/>
              </m:rPr>
              <m:t>⊤</m:t>
            </m:r>
          </m:sup>
        </m:sSubSup>
        <m:sSup>
          <m:e>
            <m:r>
              <m:t>W</m:t>
            </m:r>
          </m:e>
          <m:sup>
            <m:r>
              <m:rPr>
                <m:sty m:val="p"/>
              </m:rPr>
              <m:t>*</m:t>
            </m:r>
          </m:sup>
        </m:sSup>
        <m:r>
          <m:rPr>
            <m:sty m:val="p"/>
          </m:rPr>
          <m:t>∈</m:t>
        </m:r>
        <m:sSup>
          <m:e>
            <m:r>
              <m:rPr>
                <m:sty m:val="p"/>
                <m:scr m:val="double-struck"/>
              </m:rPr>
              <m:t>R</m:t>
            </m:r>
          </m:e>
          <m:sup>
            <m:r>
              <m:t>n</m:t>
            </m:r>
            <m:r>
              <m:rPr>
                <m:sty m:val="p"/>
              </m:rPr>
              <m:t>×</m:t>
            </m:r>
            <m:r>
              <m:t>k</m:t>
            </m:r>
          </m:sup>
        </m:sSup>
      </m:oMath>
      <w:r>
        <w:t xml:space="preserve">, written here as the transpose of the model-section convention</w:t>
      </w:r>
      <w:r>
        <w:t xml:space="preserve"> </w:t>
      </w:r>
      <m:oMath>
        <m:r>
          <m:t>Z</m:t>
        </m:r>
        <m:r>
          <m:rPr>
            <m:sty m:val="p"/>
          </m:rPr>
          <m:t>=</m:t>
        </m:r>
        <m:sSup>
          <m:e>
            <m:r>
              <m:t>W</m:t>
            </m:r>
          </m:e>
          <m:sup>
            <m:r>
              <m:rPr>
                <m:sty m:val="p"/>
              </m:rPr>
              <m:t>⊤</m:t>
            </m:r>
          </m:sup>
        </m:sSup>
        <m:r>
          <m:t>X</m:t>
        </m:r>
      </m:oMath>
      <w:r>
        <w:t xml:space="preserve"> </w:t>
      </w:r>
      <w:r>
        <w:t xml:space="preserve">so that rows index samples, and</w:t>
      </w:r>
      <w:r>
        <w:t xml:space="preserve"> </w:t>
      </w:r>
      <m:oMath>
        <m:sSub>
          <m:e>
            <m:r>
              <m:t>Z</m:t>
            </m:r>
          </m:e>
          <m:sub>
            <m:r>
              <m:rPr>
                <m:nor/>
                <m:sty m:val="p"/>
              </m:rPr>
              <m:t>true</m:t>
            </m:r>
          </m:sub>
        </m:sSub>
      </m:oMath>
      <w:r>
        <w:t xml:space="preserve"> </w:t>
      </w:r>
      <w:r>
        <w:t xml:space="preserve">denotes their column-wise standardization across all</w:t>
      </w:r>
      <w:r>
        <w:t xml:space="preserve"> </w:t>
      </w:r>
      <m:oMath>
        <m:r>
          <m:t>n</m:t>
        </m:r>
        <m:r>
          <m:rPr>
            <m:sty m:val="p"/>
          </m:rPr>
          <m:t>=</m:t>
        </m:r>
        <m:r>
          <m:t>200</m:t>
        </m:r>
      </m:oMath>
      <w:r>
        <w:t xml:space="preserve"> </w:t>
      </w:r>
      <w:r>
        <w:t xml:space="preserve">samples, applied before the 70/30 train/test split; the linear predictor was</w:t>
      </w:r>
      <w:r>
        <w:t xml:space="preserve"> </w:t>
      </w:r>
      <m:oMath>
        <m:r>
          <m:t>η</m:t>
        </m:r>
        <m:r>
          <m:rPr>
            <m:sty m:val="p"/>
          </m:rPr>
          <m:t>=</m:t>
        </m:r>
        <m:sSub>
          <m:e>
            <m:r>
              <m:t>Z</m:t>
            </m:r>
          </m:e>
          <m:sub>
            <m:r>
              <m:rPr>
                <m:nor/>
                <m:sty m:val="p"/>
              </m:rPr>
              <m:t>true</m:t>
            </m:r>
          </m:sub>
        </m:sSub>
        <m:r>
          <m:t>β</m:t>
        </m:r>
      </m:oMath>
      <w:r>
        <w:t xml:space="preserve">, so with</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only factor 1 contributes;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DeSurv incorporated survival during factorization, whereas its unsupervised limit used a post hoc Cox model on projected scores; both pipelines were tuned by Bayesian optimization using cross-validated concordance.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53"/>
    <w:bookmarkStart w:id="54" w:name="pdac-datasets-and-preprocessing"/>
    <w:p>
      <w:pPr>
        <w:pStyle w:val="Heading2"/>
      </w:pPr>
      <w:r>
        <w:t xml:space="preserve">PDAC datasets and preprocessing</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PDAC Datasets;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The training Cox objective was fit to the pooled TCGA and CPTAC samples without a cohort term; cross-validation folds were constructed within cohort with stratification by event status. Both training cohorts are RNA-seq, were rank transformed within sample, and had similar event rates (52% in TCGA-PAAD and 50% in CPTAC; Supplementary Table [tab:cohorts]); all validation analyses stratify by dataset, and a descriptive check against cohort-driven association is given in the Supplementary Information (Cohort handling in the training objective). More details about the datasets can be found in Supplementary Information, PDAC Datasets.</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54"/>
    <w:bookmarkStart w:id="55"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cohort-specific estimates and complete-case sample sizes are reported there.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5"/>
    <w:bookmarkStart w:id="56"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Projection used the frozen union support without any retraining: expression was rank transformed within sample over the genes each cohort shares with the trained gene-program namespace, support genes absent from a cohort were omitted from that cohort’s projection rather than imputed (805 of the support genes were measured in the COMPASS data), and the resulting program scores were standardized within each treated cohort before analysis.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56"/>
    <w:bookmarkStart w:id="57"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7"/>
    <w:bookmarkEnd w:id="58"/>
    <w:bookmarkStart w:id="59"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39</w:t>
        </w:r>
      </w:hyperlink>
      <w:r>
        <w:t xml:space="preserve"> </w:t>
      </w:r>
      <w:r>
        <w:t xml:space="preserve">and CPTAC-3</w:t>
      </w:r>
      <w:hyperlink w:anchor="ref-data_cptac3">
        <w:r>
          <w:rPr>
            <w:rStyle w:val="Hyperlink"/>
            <w:vertAlign w:val="superscript"/>
          </w:rPr>
          <w:t xml:space="preserve">40</w:t>
        </w:r>
      </w:hyperlink>
      <w:r>
        <w:t xml:space="preserve">. Validation cohorts were obtained from ArrayExpress (Dijk, E-MTAB-6830</w:t>
      </w:r>
      <w:hyperlink w:anchor="ref-data_dijk_emtab6830">
        <w:r>
          <w:rPr>
            <w:rStyle w:val="Hyperlink"/>
            <w:vertAlign w:val="superscript"/>
          </w:rPr>
          <w:t xml:space="preserve">41</w:t>
        </w:r>
      </w:hyperlink>
      <w:r>
        <w:t xml:space="preserve">; Puleo, E-MTAB-6134</w:t>
      </w:r>
      <w:hyperlink w:anchor="ref-data_puleo_emtab6134">
        <w:r>
          <w:rPr>
            <w:rStyle w:val="Hyperlink"/>
            <w:vertAlign w:val="superscript"/>
          </w:rPr>
          <w:t xml:space="preserve">42</w:t>
        </w:r>
      </w:hyperlink>
      <w:r>
        <w:t xml:space="preserve">), the Gene Expression Omnibus (GEO; Moffitt, GSE71729</w:t>
      </w:r>
      <w:hyperlink w:anchor="ref-data_moffitt_gse71729">
        <w:r>
          <w:rPr>
            <w:rStyle w:val="Hyperlink"/>
            <w:vertAlign w:val="superscript"/>
          </w:rPr>
          <w:t xml:space="preserve">43</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44</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9"/>
    <w:bookmarkStart w:id="62"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38</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60">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61">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62"/>
    <w:bookmarkStart w:id="63"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63"/>
    <w:bookmarkStart w:id="64"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64"/>
    <w:bookmarkStart w:id="65"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65"/>
    <w:bookmarkStart w:id="150" w:name="references"/>
    <w:p>
      <w:pPr>
        <w:pStyle w:val="Heading1"/>
      </w:pPr>
      <w:r>
        <w:t xml:space="preserve">References</w:t>
      </w:r>
    </w:p>
    <w:bookmarkStart w:id="149" w:name="refs"/>
    <w:bookmarkStart w:id="67" w:name="ref-siegel2026cancer"/>
    <w:p>
      <w:pPr>
        <w:pStyle w:val="Bibliography"/>
      </w:pPr>
      <w:r>
        <w:t xml:space="preserve">1.</w:t>
      </w:r>
      <w:r>
        <w:t xml:space="preserve"> </w:t>
      </w:r>
      <w:r>
        <w:t xml:space="preserve">	</w:t>
      </w:r>
      <w:r>
        <w:t xml:space="preserve">Siegel, R. L., Kratzer, T. B., Wagle, N. S., Sung, H. &amp; Jemal, A.</w:t>
      </w:r>
      <w:r>
        <w:t xml:space="preserve"> </w:t>
      </w:r>
      <w:hyperlink r:id="rId66">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7"/>
    <w:bookmarkStart w:id="69"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8">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9"/>
    <w:bookmarkStart w:id="71"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7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71"/>
    <w:bookmarkStart w:id="73"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72">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3"/>
    <w:bookmarkStart w:id="75"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74">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5"/>
    <w:bookmarkStart w:id="77"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76">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7"/>
    <w:bookmarkStart w:id="79"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8">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9"/>
    <w:bookmarkStart w:id="81"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80">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81"/>
    <w:bookmarkStart w:id="83"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8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83"/>
    <w:bookmarkStart w:id="85"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84">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85"/>
    <w:bookmarkStart w:id="87" w:name="ref-nguyen2024fourteen"/>
    <w:p>
      <w:pPr>
        <w:pStyle w:val="Bibliography"/>
      </w:pPr>
      <w:r>
        <w:t xml:space="preserve">11.</w:t>
      </w:r>
      <w:r>
        <w:t xml:space="preserve"> </w:t>
      </w:r>
      <w:r>
        <w:t xml:space="preserve">	</w:t>
      </w:r>
      <w:r>
        <w:t xml:space="preserve">Nguyen, H., Nguyen, H., Tran, D., Draghici, S. &amp; Nguyen, T.</w:t>
      </w:r>
      <w:r>
        <w:t xml:space="preserve"> </w:t>
      </w:r>
      <w:hyperlink r:id="rId86">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7"/>
    <w:bookmarkStart w:id="89" w:name="ref-lee1999learning"/>
    <w:p>
      <w:pPr>
        <w:pStyle w:val="Bibliography"/>
      </w:pPr>
      <w:r>
        <w:t xml:space="preserve">12.</w:t>
      </w:r>
      <w:r>
        <w:t xml:space="preserve"> </w:t>
      </w:r>
      <w:r>
        <w:t xml:space="preserve">	</w:t>
      </w:r>
      <w:r>
        <w:t xml:space="preserve">Lee, D. D. &amp; Seung, H. S.</w:t>
      </w:r>
      <w:r>
        <w:t xml:space="preserve"> </w:t>
      </w:r>
      <w:hyperlink r:id="rId88">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9"/>
    <w:bookmarkStart w:id="91" w:name="ref-brunet2004metagenes"/>
    <w:p>
      <w:pPr>
        <w:pStyle w:val="Bibliography"/>
      </w:pPr>
      <w:r>
        <w:t xml:space="preserve">13.</w:t>
      </w:r>
      <w:r>
        <w:t xml:space="preserve"> </w:t>
      </w:r>
      <w:r>
        <w:t xml:space="preserve">	</w:t>
      </w:r>
      <w:r>
        <w:t xml:space="preserve">Brunet, J.-P., Tamayo, P., Golub, T. R. &amp; Mesirov, J. P.</w:t>
      </w:r>
      <w:r>
        <w:t xml:space="preserve"> </w:t>
      </w:r>
      <w:hyperlink r:id="rId90">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1"/>
    <w:bookmarkStart w:id="93" w:name="ref-peng2019novo"/>
    <w:p>
      <w:pPr>
        <w:pStyle w:val="Bibliography"/>
      </w:pPr>
      <w:r>
        <w:t xml:space="preserve">14.</w:t>
      </w:r>
      <w:r>
        <w:t xml:space="preserve"> </w:t>
      </w:r>
      <w:r>
        <w:t xml:space="preserve">	</w:t>
      </w:r>
      <w:r>
        <w:t xml:space="preserve">Peng, X. L., Moffitt, R. A., Torphy, R. J., Volmar, K. E. &amp; Yeh, J. J.</w:t>
      </w:r>
      <w:r>
        <w:t xml:space="preserve"> </w:t>
      </w:r>
      <w:hyperlink r:id="rId92">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93"/>
    <w:bookmarkStart w:id="95" w:name="ref-bair2004semi"/>
    <w:p>
      <w:pPr>
        <w:pStyle w:val="Bibliography"/>
      </w:pPr>
      <w:r>
        <w:t xml:space="preserve">15.</w:t>
      </w:r>
      <w:r>
        <w:t xml:space="preserve"> </w:t>
      </w:r>
      <w:r>
        <w:t xml:space="preserve">	</w:t>
      </w:r>
      <w:r>
        <w:t xml:space="preserve">Bair, E. &amp; Tibshirani, R.</w:t>
      </w:r>
      <w:r>
        <w:t xml:space="preserve"> </w:t>
      </w:r>
      <w:hyperlink r:id="rId94">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95"/>
    <w:bookmarkStart w:id="97" w:name="ref-cook2007fisher"/>
    <w:p>
      <w:pPr>
        <w:pStyle w:val="Bibliography"/>
      </w:pPr>
      <w:r>
        <w:t xml:space="preserve">16.</w:t>
      </w:r>
      <w:r>
        <w:t xml:space="preserve"> </w:t>
      </w:r>
      <w:r>
        <w:t xml:space="preserve">	</w:t>
      </w:r>
      <w:r>
        <w:t xml:space="preserve">Cook, R. D.</w:t>
      </w:r>
      <w:r>
        <w:t xml:space="preserve"> </w:t>
      </w:r>
      <w:hyperlink r:id="rId96">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7"/>
    <w:bookmarkStart w:id="99"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8">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9"/>
    <w:bookmarkStart w:id="101" w:name="ref-aran2015systematic"/>
    <w:p>
      <w:pPr>
        <w:pStyle w:val="Bibliography"/>
      </w:pPr>
      <w:r>
        <w:t xml:space="preserve">18.</w:t>
      </w:r>
      <w:r>
        <w:t xml:space="preserve"> </w:t>
      </w:r>
      <w:r>
        <w:t xml:space="preserve">	</w:t>
      </w:r>
      <w:r>
        <w:t xml:space="preserve">Aran, D., Sirota, M. &amp; Butte, A. J.</w:t>
      </w:r>
      <w:r>
        <w:t xml:space="preserve"> </w:t>
      </w:r>
      <w:hyperlink r:id="rId100">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101"/>
    <w:bookmarkStart w:id="102"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102"/>
    <w:bookmarkStart w:id="104"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103">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104"/>
    <w:bookmarkStart w:id="105"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105"/>
    <w:bookmarkStart w:id="107"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106">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7"/>
    <w:bookmarkStart w:id="109"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8">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9"/>
    <w:bookmarkStart w:id="111"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10">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11"/>
    <w:bookmarkStart w:id="113"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12">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13"/>
    <w:bookmarkStart w:id="115" w:name="ref-snoek2012practical"/>
    <w:p>
      <w:pPr>
        <w:pStyle w:val="Bibliography"/>
      </w:pPr>
      <w:r>
        <w:t xml:space="preserve">26.</w:t>
      </w:r>
      <w:r>
        <w:t xml:space="preserve"> </w:t>
      </w:r>
      <w:r>
        <w:t xml:space="preserve">	</w:t>
      </w:r>
      <w:r>
        <w:t xml:space="preserve">Snoek, J., Larochelle, H. &amp; Adams, R. P.</w:t>
      </w:r>
      <w:r>
        <w:t xml:space="preserve"> </w:t>
      </w:r>
      <w:hyperlink r:id="rId114">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15"/>
    <w:bookmarkStart w:id="117"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16">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7"/>
    <w:bookmarkStart w:id="119" w:name="ref-frigyesi2008nmf"/>
    <w:p>
      <w:pPr>
        <w:pStyle w:val="Bibliography"/>
      </w:pPr>
      <w:r>
        <w:t xml:space="preserve">28.</w:t>
      </w:r>
      <w:r>
        <w:t xml:space="preserve"> </w:t>
      </w:r>
      <w:r>
        <w:t xml:space="preserve">	</w:t>
      </w:r>
      <w:r>
        <w:t xml:space="preserve">Frigyesi, A. &amp; Höglund, M.</w:t>
      </w:r>
      <w:r>
        <w:t xml:space="preserve"> </w:t>
      </w:r>
      <w:hyperlink r:id="rId118">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9"/>
    <w:bookmarkStart w:id="121"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20">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1"/>
    <w:bookmarkStart w:id="123"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22">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3"/>
    <w:bookmarkStart w:id="124"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4"/>
    <w:bookmarkStart w:id="125"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25"/>
    <w:bookmarkStart w:id="126"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26"/>
    <w:bookmarkStart w:id="128" w:name="ref-ogawa2020stroma"/>
    <w:p>
      <w:pPr>
        <w:pStyle w:val="Bibliography"/>
      </w:pPr>
      <w:r>
        <w:t xml:space="preserve">34.</w:t>
      </w:r>
      <w:r>
        <w:t xml:space="preserve"> </w:t>
      </w:r>
      <w:r>
        <w:t xml:space="preserve">	</w:t>
      </w:r>
      <w:r>
        <w:t xml:space="preserve">Ogawa, Y.</w:t>
      </w:r>
      <w:r>
        <w:t xml:space="preserve"> </w:t>
      </w:r>
      <w:r>
        <w:rPr>
          <w:iCs/>
          <w:i/>
        </w:rPr>
        <w:t xml:space="preserve">et al.</w:t>
      </w:r>
      <w:r>
        <w:t xml:space="preserve"> </w:t>
      </w:r>
      <w:hyperlink r:id="rId127">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8"/>
    <w:bookmarkStart w:id="130" w:name="ref-neuzillet2022periostin"/>
    <w:p>
      <w:pPr>
        <w:pStyle w:val="Bibliography"/>
      </w:pPr>
      <w:r>
        <w:t xml:space="preserve">35.</w:t>
      </w:r>
      <w:r>
        <w:t xml:space="preserve"> </w:t>
      </w:r>
      <w:r>
        <w:t xml:space="preserve">	</w:t>
      </w:r>
      <w:r>
        <w:t xml:space="preserve">Neuzillet, C.</w:t>
      </w:r>
      <w:r>
        <w:t xml:space="preserve"> </w:t>
      </w:r>
      <w:r>
        <w:rPr>
          <w:iCs/>
          <w:i/>
        </w:rPr>
        <w:t xml:space="preserve">et al.</w:t>
      </w:r>
      <w:r>
        <w:t xml:space="preserve"> </w:t>
      </w:r>
      <w:hyperlink r:id="rId129">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30"/>
    <w:bookmarkStart w:id="132" w:name="ref-lee2024tumorcaf"/>
    <w:p>
      <w:pPr>
        <w:pStyle w:val="Bibliography"/>
      </w:pPr>
      <w:r>
        <w:t xml:space="preserve">36.</w:t>
      </w:r>
      <w:r>
        <w:t xml:space="preserve"> </w:t>
      </w:r>
      <w:r>
        <w:t xml:space="preserve">	</w:t>
      </w:r>
      <w:r>
        <w:t xml:space="preserve">Lee, J. J.</w:t>
      </w:r>
      <w:r>
        <w:t xml:space="preserve"> </w:t>
      </w:r>
      <w:r>
        <w:rPr>
          <w:iCs/>
          <w:i/>
        </w:rPr>
        <w:t xml:space="preserve">et al.</w:t>
      </w:r>
      <w:r>
        <w:t xml:space="preserve"> </w:t>
      </w:r>
      <w:hyperlink r:id="rId131">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32"/>
    <w:bookmarkStart w:id="134" w:name="ref-smith2020standard"/>
    <w:p>
      <w:pPr>
        <w:pStyle w:val="Bibliography"/>
      </w:pPr>
      <w:r>
        <w:t xml:space="preserve">37.</w:t>
      </w:r>
      <w:r>
        <w:t xml:space="preserve"> </w:t>
      </w:r>
      <w:r>
        <w:t xml:space="preserve">	</w:t>
      </w:r>
      <w:r>
        <w:t xml:space="preserve">Smith, A. M.</w:t>
      </w:r>
      <w:r>
        <w:t xml:space="preserve"> </w:t>
      </w:r>
      <w:r>
        <w:rPr>
          <w:iCs/>
          <w:i/>
        </w:rPr>
        <w:t xml:space="preserve">et al.</w:t>
      </w:r>
      <w:r>
        <w:t xml:space="preserve"> </w:t>
      </w:r>
      <w:hyperlink r:id="rId133">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34"/>
    <w:bookmarkStart w:id="136" w:name="ref-gaujoux2010flexible"/>
    <w:p>
      <w:pPr>
        <w:pStyle w:val="Bibliography"/>
      </w:pPr>
      <w:r>
        <w:t xml:space="preserve">38.</w:t>
      </w:r>
      <w:r>
        <w:t xml:space="preserve"> </w:t>
      </w:r>
      <w:r>
        <w:t xml:space="preserve">	</w:t>
      </w:r>
      <w:r>
        <w:t xml:space="preserve">Gaujoux, R. &amp; Seoighe, C.</w:t>
      </w:r>
      <w:r>
        <w:t xml:space="preserve"> </w:t>
      </w:r>
      <w:hyperlink r:id="rId135">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6"/>
    <w:bookmarkStart w:id="138" w:name="ref-data_tcga_paad"/>
    <w:p>
      <w:pPr>
        <w:pStyle w:val="Bibliography"/>
      </w:pPr>
      <w:r>
        <w:t xml:space="preserve">39.</w:t>
      </w:r>
      <w:r>
        <w:t xml:space="preserve"> </w:t>
      </w:r>
      <w:r>
        <w:t xml:space="preserve">	</w:t>
      </w:r>
      <w:r>
        <w:t xml:space="preserve">The Cancer Genome Atlas Research Network.</w:t>
      </w:r>
      <w:r>
        <w:t xml:space="preserve"> </w:t>
      </w:r>
      <w:hyperlink r:id="rId137">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8"/>
    <w:bookmarkStart w:id="140" w:name="ref-data_cptac3"/>
    <w:p>
      <w:pPr>
        <w:pStyle w:val="Bibliography"/>
      </w:pPr>
      <w:r>
        <w:t xml:space="preserve">40.</w:t>
      </w:r>
      <w:r>
        <w:t xml:space="preserve"> </w:t>
      </w:r>
      <w:r>
        <w:t xml:space="preserve">	</w:t>
      </w:r>
      <w:r>
        <w:t xml:space="preserve">National Cancer Institute Clinical Proteomic Tumor Analysis Consortium.</w:t>
      </w:r>
      <w:r>
        <w:t xml:space="preserve"> </w:t>
      </w:r>
      <w:hyperlink r:id="rId139">
        <w:r>
          <w:rPr>
            <w:rStyle w:val="Hyperlink"/>
          </w:rPr>
          <w:t xml:space="preserve">Data from CPTAC-3 pancreatic ductal adenocarcinoma cohort</w:t>
        </w:r>
      </w:hyperlink>
      <w:r>
        <w:t xml:space="preserve">. (2019).</w:t>
      </w:r>
    </w:p>
    <w:bookmarkEnd w:id="140"/>
    <w:bookmarkStart w:id="142" w:name="ref-data_dijk_emtab6830"/>
    <w:p>
      <w:pPr>
        <w:pStyle w:val="Bibliography"/>
      </w:pPr>
      <w:r>
        <w:t xml:space="preserve">41.</w:t>
      </w:r>
      <w:r>
        <w:t xml:space="preserve"> </w:t>
      </w:r>
      <w:r>
        <w:t xml:space="preserve">	</w:t>
      </w:r>
      <w:r>
        <w:t xml:space="preserve">Dijk, F.</w:t>
      </w:r>
      <w:r>
        <w:t xml:space="preserve"> </w:t>
      </w:r>
      <w:r>
        <w:rPr>
          <w:iCs/>
          <w:i/>
        </w:rPr>
        <w:t xml:space="preserve">et al.</w:t>
      </w:r>
      <w:r>
        <w:t xml:space="preserve"> </w:t>
      </w:r>
      <w:hyperlink r:id="rId141">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2"/>
    <w:bookmarkStart w:id="144" w:name="ref-data_puleo_emtab6134"/>
    <w:p>
      <w:pPr>
        <w:pStyle w:val="Bibliography"/>
      </w:pPr>
      <w:r>
        <w:t xml:space="preserve">42.</w:t>
      </w:r>
      <w:r>
        <w:t xml:space="preserve"> </w:t>
      </w:r>
      <w:r>
        <w:t xml:space="preserve">	</w:t>
      </w:r>
      <w:r>
        <w:t xml:space="preserve">Puleo, F.</w:t>
      </w:r>
      <w:r>
        <w:t xml:space="preserve"> </w:t>
      </w:r>
      <w:r>
        <w:rPr>
          <w:iCs/>
          <w:i/>
        </w:rPr>
        <w:t xml:space="preserve">et al.</w:t>
      </w:r>
      <w:r>
        <w:t xml:space="preserve"> </w:t>
      </w:r>
      <w:hyperlink r:id="rId143">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4"/>
    <w:bookmarkStart w:id="146" w:name="ref-data_moffitt_gse71729"/>
    <w:p>
      <w:pPr>
        <w:pStyle w:val="Bibliography"/>
      </w:pPr>
      <w:r>
        <w:t xml:space="preserve">43.</w:t>
      </w:r>
      <w:r>
        <w:t xml:space="preserve"> </w:t>
      </w:r>
      <w:r>
        <w:t xml:space="preserve">	</w:t>
      </w:r>
      <w:r>
        <w:t xml:space="preserve">Moffitt, R. A.</w:t>
      </w:r>
      <w:r>
        <w:t xml:space="preserve"> </w:t>
      </w:r>
      <w:r>
        <w:rPr>
          <w:iCs/>
          <w:i/>
        </w:rPr>
        <w:t xml:space="preserve">et al.</w:t>
      </w:r>
      <w:r>
        <w:t xml:space="preserve"> </w:t>
      </w:r>
      <w:hyperlink r:id="rId145">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6"/>
    <w:bookmarkStart w:id="148" w:name="ref-data_paca_au_egas"/>
    <w:p>
      <w:pPr>
        <w:pStyle w:val="Bibliography"/>
      </w:pPr>
      <w:r>
        <w:t xml:space="preserve">44.</w:t>
      </w:r>
      <w:r>
        <w:t xml:space="preserve"> </w:t>
      </w:r>
      <w:r>
        <w:t xml:space="preserve">	</w:t>
      </w:r>
      <w:r>
        <w:t xml:space="preserve">Australian Pancreatic Cancer Genome Initiative &amp; International Cancer Genome Consortium.</w:t>
      </w:r>
      <w:r>
        <w:t xml:space="preserve"> </w:t>
      </w:r>
      <w:hyperlink r:id="rId147">
        <w:r>
          <w:rPr>
            <w:rStyle w:val="Hyperlink"/>
          </w:rPr>
          <w:t xml:space="preserve">Pancreatic cancer (PACA-AU) cohort: Array and RNA-sequencing data</w:t>
        </w:r>
      </w:hyperlink>
      <w:r>
        <w:t xml:space="preserve">. (2016).</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20" Target="media/rId20.png" /><Relationship Type="http://schemas.openxmlformats.org/officeDocument/2006/relationships/hyperlink" Id="rId129" Target="https://doi.org/10.1002/path.6011" TargetMode="External" /><Relationship Type="http://schemas.openxmlformats.org/officeDocument/2006/relationships/hyperlink" Id="rId110" Target="https://doi.org/10.1016/j.ccell.2017.07.007" TargetMode="External" /><Relationship Type="http://schemas.openxmlformats.org/officeDocument/2006/relationships/hyperlink" Id="rId112" Target="https://doi.org/10.1016/j.cell.2021.08.023" TargetMode="External" /><Relationship Type="http://schemas.openxmlformats.org/officeDocument/2006/relationships/hyperlink" Id="rId74" Target="https://doi.org/10.1016/j.xcrm.2026.102611" TargetMode="External" /><Relationship Type="http://schemas.openxmlformats.org/officeDocument/2006/relationships/hyperlink" Id="rId88"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100"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92"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8" Target="https://doi.org/10.1038/s42003-023-04461-6" TargetMode="External" /><Relationship Type="http://schemas.openxmlformats.org/officeDocument/2006/relationships/hyperlink" Id="rId90" Target="https://doi.org/10.1073/pnas.0308531101" TargetMode="External" /><Relationship Type="http://schemas.openxmlformats.org/officeDocument/2006/relationships/hyperlink" Id="rId120"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6" Target="https://doi.org/10.1093/narcan/zcac030" TargetMode="External" /><Relationship Type="http://schemas.openxmlformats.org/officeDocument/2006/relationships/hyperlink" Id="rId131" Target="https://doi.org/10.1097/SLA.0000000000006416" TargetMode="External" /><Relationship Type="http://schemas.openxmlformats.org/officeDocument/2006/relationships/hyperlink" Id="rId116" Target="https://doi.org/10.1109/JPROC.2015.2494218" TargetMode="External" /><Relationship Type="http://schemas.openxmlformats.org/officeDocument/2006/relationships/hyperlink" Id="rId122" Target="https://doi.org/10.1136/gutjnl-2018-317706" TargetMode="External" /><Relationship Type="http://schemas.openxmlformats.org/officeDocument/2006/relationships/hyperlink" Id="rId103"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27" Target="https://doi.org/10.1158/1078-0432.CCR-20-2298" TargetMode="External" /><Relationship Type="http://schemas.openxmlformats.org/officeDocument/2006/relationships/hyperlink" Id="rId135" Target="https://doi.org/10.1186/1471-2105-11-367" TargetMode="External" /><Relationship Type="http://schemas.openxmlformats.org/officeDocument/2006/relationships/hyperlink" Id="rId133" Target="https://doi.org/10.1186/s12859-020-3427-8" TargetMode="External" /><Relationship Type="http://schemas.openxmlformats.org/officeDocument/2006/relationships/hyperlink" Id="rId96" Target="https://doi.org/10.1214/088342306000000682" TargetMode="External" /><Relationship Type="http://schemas.openxmlformats.org/officeDocument/2006/relationships/hyperlink" Id="rId94" Target="https://doi.org/10.1371/journal.pbio.0020108" TargetMode="External" /><Relationship Type="http://schemas.openxmlformats.org/officeDocument/2006/relationships/hyperlink" Id="rId108"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18"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39" Target="https://portal.gdc.cancer.gov/projects/CPTAC-3" TargetMode="External" /><Relationship Type="http://schemas.openxmlformats.org/officeDocument/2006/relationships/hyperlink" Id="rId137" Target="https://portal.gdc.cancer.gov/projects/TCGA-PAAD" TargetMode="External" /><Relationship Type="http://schemas.openxmlformats.org/officeDocument/2006/relationships/hyperlink" Id="rId114" Target="https://proceedings.neurips.cc/paper/2012/hash/05311655a15b75fab86956663e1819cd-Abstract.html" TargetMode="External" /><Relationship Type="http://schemas.openxmlformats.org/officeDocument/2006/relationships/hyperlink" Id="rId143" Target="https://www.ebi.ac.uk/biostudies/arrayexpress/studies/E-MTAB-6134" TargetMode="External" /><Relationship Type="http://schemas.openxmlformats.org/officeDocument/2006/relationships/hyperlink" Id="rId141" Target="https://www.ebi.ac.uk/biostudies/arrayexpress/studies/E-MTAB-6830" TargetMode="External" /><Relationship Type="http://schemas.openxmlformats.org/officeDocument/2006/relationships/hyperlink" Id="rId147" Target="https://www.ncbi.nlm.nih.gov/geo/query/acc.cgi?acc=GSE36924" TargetMode="External" /><Relationship Type="http://schemas.openxmlformats.org/officeDocument/2006/relationships/hyperlink" Id="rId145"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29" Target="https://doi.org/10.1002/path.6011" TargetMode="External" /><Relationship Type="http://schemas.openxmlformats.org/officeDocument/2006/relationships/hyperlink" Id="rId110" Target="https://doi.org/10.1016/j.ccell.2017.07.007" TargetMode="External" /><Relationship Type="http://schemas.openxmlformats.org/officeDocument/2006/relationships/hyperlink" Id="rId112" Target="https://doi.org/10.1016/j.cell.2021.08.023" TargetMode="External" /><Relationship Type="http://schemas.openxmlformats.org/officeDocument/2006/relationships/hyperlink" Id="rId74" Target="https://doi.org/10.1016/j.xcrm.2026.102611" TargetMode="External" /><Relationship Type="http://schemas.openxmlformats.org/officeDocument/2006/relationships/hyperlink" Id="rId88" Target="https://doi.org/10.1038/44565" TargetMode="External" /><Relationship Type="http://schemas.openxmlformats.org/officeDocument/2006/relationships/hyperlink" Id="rId82" Target="https://doi.org/10.1038/nature16965" TargetMode="External" /><Relationship Type="http://schemas.openxmlformats.org/officeDocument/2006/relationships/hyperlink" Id="rId100" Target="https://doi.org/10.1038/ncomms9971" TargetMode="External" /><Relationship Type="http://schemas.openxmlformats.org/officeDocument/2006/relationships/hyperlink" Id="rId70" Target="https://doi.org/10.1038/ng.3398" TargetMode="External" /><Relationship Type="http://schemas.openxmlformats.org/officeDocument/2006/relationships/hyperlink" Id="rId68" Target="https://doi.org/10.1038/nm.2344" TargetMode="External" /><Relationship Type="http://schemas.openxmlformats.org/officeDocument/2006/relationships/hyperlink" Id="rId92" Target="https://doi.org/10.1038/s41467-019-12517-7" TargetMode="External" /><Relationship Type="http://schemas.openxmlformats.org/officeDocument/2006/relationships/hyperlink" Id="rId80" Target="https://doi.org/10.1038/s41467-023-36296-4" TargetMode="External" /><Relationship Type="http://schemas.openxmlformats.org/officeDocument/2006/relationships/hyperlink" Id="rId76" Target="https://doi.org/10.1038/s41587-019-0392-8" TargetMode="External" /><Relationship Type="http://schemas.openxmlformats.org/officeDocument/2006/relationships/hyperlink" Id="rId78" Target="https://doi.org/10.1038/s41588-022-01134-8" TargetMode="External" /><Relationship Type="http://schemas.openxmlformats.org/officeDocument/2006/relationships/hyperlink" Id="rId98" Target="https://doi.org/10.1038/s42003-023-04461-6" TargetMode="External" /><Relationship Type="http://schemas.openxmlformats.org/officeDocument/2006/relationships/hyperlink" Id="rId90" Target="https://doi.org/10.1073/pnas.0308531101" TargetMode="External" /><Relationship Type="http://schemas.openxmlformats.org/officeDocument/2006/relationships/hyperlink" Id="rId120" Target="https://doi.org/10.1093/bioinformatics/btad449" TargetMode="External" /><Relationship Type="http://schemas.openxmlformats.org/officeDocument/2006/relationships/hyperlink" Id="rId86" Target="https://doi.org/10.1093/nar/gkae267" TargetMode="External" /><Relationship Type="http://schemas.openxmlformats.org/officeDocument/2006/relationships/hyperlink" Id="rId106" Target="https://doi.org/10.1093/narcan/zcac030" TargetMode="External" /><Relationship Type="http://schemas.openxmlformats.org/officeDocument/2006/relationships/hyperlink" Id="rId131" Target="https://doi.org/10.1097/SLA.0000000000006416" TargetMode="External" /><Relationship Type="http://schemas.openxmlformats.org/officeDocument/2006/relationships/hyperlink" Id="rId116" Target="https://doi.org/10.1109/JPROC.2015.2494218" TargetMode="External" /><Relationship Type="http://schemas.openxmlformats.org/officeDocument/2006/relationships/hyperlink" Id="rId122" Target="https://doi.org/10.1136/gutjnl-2018-317706" TargetMode="External" /><Relationship Type="http://schemas.openxmlformats.org/officeDocument/2006/relationships/hyperlink" Id="rId103" Target="https://doi.org/10.1155/2008/764206" TargetMode="External" /><Relationship Type="http://schemas.openxmlformats.org/officeDocument/2006/relationships/hyperlink" Id="rId84" Target="https://doi.org/10.1158/1078-0432.CCR-17-2994" TargetMode="External" /><Relationship Type="http://schemas.openxmlformats.org/officeDocument/2006/relationships/hyperlink" Id="rId72" Target="https://doi.org/10.1158/1078-0432.CCR-19-1467" TargetMode="External" /><Relationship Type="http://schemas.openxmlformats.org/officeDocument/2006/relationships/hyperlink" Id="rId127" Target="https://doi.org/10.1158/1078-0432.CCR-20-2298" TargetMode="External" /><Relationship Type="http://schemas.openxmlformats.org/officeDocument/2006/relationships/hyperlink" Id="rId135" Target="https://doi.org/10.1186/1471-2105-11-367" TargetMode="External" /><Relationship Type="http://schemas.openxmlformats.org/officeDocument/2006/relationships/hyperlink" Id="rId133" Target="https://doi.org/10.1186/s12859-020-3427-8" TargetMode="External" /><Relationship Type="http://schemas.openxmlformats.org/officeDocument/2006/relationships/hyperlink" Id="rId96" Target="https://doi.org/10.1214/088342306000000682" TargetMode="External" /><Relationship Type="http://schemas.openxmlformats.org/officeDocument/2006/relationships/hyperlink" Id="rId94" Target="https://doi.org/10.1371/journal.pbio.0020108" TargetMode="External" /><Relationship Type="http://schemas.openxmlformats.org/officeDocument/2006/relationships/hyperlink" Id="rId108" Target="https://doi.org/10.18637/jss.v039.i05" TargetMode="External" /><Relationship Type="http://schemas.openxmlformats.org/officeDocument/2006/relationships/hyperlink" Id="rId66" Target="https://doi.org/10.3322/caac.70043" TargetMode="External" /><Relationship Type="http://schemas.openxmlformats.org/officeDocument/2006/relationships/hyperlink" Id="rId118" Target="https://doi.org/10.4137/CIN.S606" TargetMode="External" /><Relationship Type="http://schemas.openxmlformats.org/officeDocument/2006/relationships/hyperlink" Id="rId60" Target="https://github.com/rashidlab/DeSurv" TargetMode="External" /><Relationship Type="http://schemas.openxmlformats.org/officeDocument/2006/relationships/hyperlink" Id="rId61" Target="https://github.com/rashidlab/DeSurv-paper" TargetMode="External" /><Relationship Type="http://schemas.openxmlformats.org/officeDocument/2006/relationships/hyperlink" Id="rId139" Target="https://portal.gdc.cancer.gov/projects/CPTAC-3" TargetMode="External" /><Relationship Type="http://schemas.openxmlformats.org/officeDocument/2006/relationships/hyperlink" Id="rId137" Target="https://portal.gdc.cancer.gov/projects/TCGA-PAAD" TargetMode="External" /><Relationship Type="http://schemas.openxmlformats.org/officeDocument/2006/relationships/hyperlink" Id="rId114" Target="https://proceedings.neurips.cc/paper/2012/hash/05311655a15b75fab86956663e1819cd-Abstract.html" TargetMode="External" /><Relationship Type="http://schemas.openxmlformats.org/officeDocument/2006/relationships/hyperlink" Id="rId143" Target="https://www.ebi.ac.uk/biostudies/arrayexpress/studies/E-MTAB-6134" TargetMode="External" /><Relationship Type="http://schemas.openxmlformats.org/officeDocument/2006/relationships/hyperlink" Id="rId141" Target="https://www.ebi.ac.uk/biostudies/arrayexpress/studies/E-MTAB-6830" TargetMode="External" /><Relationship Type="http://schemas.openxmlformats.org/officeDocument/2006/relationships/hyperlink" Id="rId147" Target="https://www.ncbi.nlm.nih.gov/geo/query/acc.cgi?acc=GSE36924" TargetMode="External" /><Relationship Type="http://schemas.openxmlformats.org/officeDocument/2006/relationships/hyperlink" Id="rId145"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2026-09-14T13:56:17Z</dcterms:created>
  <dcterms:modified xsi:type="dcterms:W3CDTF">2026-09-14T13:56:17Z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stromal, and other microenvironmental biology. Expression-driven discovery can overlook prognostically relevant programs that contribute relatively little transcriptomic variation. We developed DeSurv, a survival-supervised matrix factorization that incorporates patient outcomes into gene-program discovery and freezes gene weights for new cohorts. In pooled TCGA and CPTAC cohorts, DeSurv recovered a three-program tumor–stroma architecture whose dominant survival-aligned program combined classical-tumor and restCAF-like stromal features. Applied without refitting to five external datasets, the frozen risk score remained prognostic before (HR per SD, 1.42; 95% CI, 1.26–1.59) and after PurIST and DeCAF adjustment. Unsupervised factorization matched on program number and tuning budget did not recover this program; a rank-optimized unsupervised control recovered comparable prognostic information across seven factors. In simulations with known underlying structure, DeSurv recovered prognostic genes more accurately when survival signal contributed little expression variation. Survival supervision therefore offers a route to prognostically relevant, interpretable programs.</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