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2.png" ContentType="image/png"/>
  <Override PartName="/word/media/rId57.png" ContentType="image/png"/>
  <Override PartName="/word/media/rId45.png" ContentType="image/png"/>
  <Override PartName="/word/media/rId3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factor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We therefore ran a sensitivity check on rank</w:t>
      </w:r>
      <w:r>
        <w:t xml:space="preserve"> </w:t>
      </w:r>
      <w:r>
        <w:t xml:space="preserve">selection using the same training data and the selected non-rank</w:t>
      </w:r>
      <w:r>
        <w:t xml:space="preserve"> </w:t>
      </w:r>
      <w:r>
        <w:t xml:space="preserve">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factor-specificity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factor</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Lee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2"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2"/>
    <w:bookmarkStart w:id="53"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3"/>
    <w:bookmarkStart w:id="54"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4"/>
    <w:bookmarkStart w:id="55"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5"/>
    <w:bookmarkStart w:id="56"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6"/>
    <w:bookmarkStart w:id="60"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(see Methods).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8" name="Picture"/>
            <a:graphic>
              <a:graphicData uri="http://schemas.openxmlformats.org/drawingml/2006/picture">
                <pic:pic>
                  <pic:nvPicPr>
                    <pic:cNvPr descr=".docx_media/figures_fig_sim_null_mixed_1.png" id="59" name="Picture"/>
                    <pic:cNvPicPr>
                      <a:picLocks noChangeArrowheads="1" noChangeAspect="1"/>
                    </pic:cNvPicPr>
                  </pic:nvPicPr>
                  <pic:blipFill>
                    <a:blip r:embed="rId57"/>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0"/>
    <w:bookmarkStart w:id="64"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2" name="Picture"/>
            <a:graphic>
              <a:graphicData uri="http://schemas.openxmlformats.org/drawingml/2006/picture">
                <pic:pic>
                  <pic:nvPicPr>
                    <pic:cNvPr descr=".docx_media/figures_fig_cindex_by_k_1.png" id="63" name="Picture"/>
                    <pic:cNvPicPr>
                      <a:picLocks noChangeArrowheads="1" noChangeAspect="1"/>
                    </pic:cNvPicPr>
                  </pic:nvPicPr>
                  <pic:blipFill>
                    <a:blip r:embed="rId61"/>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4"/>
    <w:bookmarkStart w:id="68"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6" name="Picture"/>
            <a:graphic>
              <a:graphicData uri="http://schemas.openxmlformats.org/drawingml/2006/picture">
                <pic:pic>
                  <pic:nvPicPr>
                    <pic:cNvPr descr=".docx_media/figures_fig_nmf_diagnostics_1.png" id="67" name="Picture"/>
                    <pic:cNvPicPr>
                      <a:picLocks noChangeArrowheads="1" noChangeAspect="1"/>
                    </pic:cNvPicPr>
                  </pic:nvPicPr>
                  <pic:blipFill>
                    <a:blip r:embed="rId65"/>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8"/>
    <w:bookmarkStart w:id="78"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0" name="Picture"/>
            <a:graphic>
              <a:graphicData uri="http://schemas.openxmlformats.org/drawingml/2006/picture">
                <pic:pic>
                  <pic:nvPicPr>
                    <pic:cNvPr descr="figures/fig-nmf-k7-heatmap-1.png" id="71" name="Picture"/>
                    <pic:cNvPicPr>
                      <a:picLocks noChangeArrowheads="1" noChangeAspect="1"/>
                    </pic:cNvPicPr>
                  </pic:nvPicPr>
                  <pic:blipFill>
                    <a:blip r:embed="rId69"/>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5"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3" name="Picture"/>
            <a:graphic>
              <a:graphicData uri="http://schemas.openxmlformats.org/drawingml/2006/picture">
                <pic:pic>
                  <pic:nvPicPr>
                    <pic:cNvPr descr=".docx_media/figures_fig_reference_program_multiplicity.png" id="74" name="Picture"/>
                    <pic:cNvPicPr>
                      <a:picLocks noChangeArrowheads="1" noChangeAspect="1"/>
                    </pic:cNvPicPr>
                  </pic:nvPicPr>
                  <pic:blipFill>
                    <a:blip r:embed="rId72"/>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5"/>
    <w:bookmarkStart w:id="76"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6"/>
    <w:bookmarkStart w:id="77"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7"/>
    <w:bookmarkEnd w:id="78"/>
    <w:bookmarkStart w:id="79"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9"/>
    <w:bookmarkStart w:id="83"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0"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0"/>
    <w:bookmarkStart w:id="81"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1"/>
    <w:bookmarkStart w:id="82"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2"/>
    <w:bookmarkEnd w:id="83"/>
    <w:bookmarkStart w:id="136" w:name="bibliography"/>
    <w:p>
      <w:pPr>
        <w:pStyle w:val="Heading1"/>
      </w:pPr>
      <w:r>
        <w:t xml:space="preserve">SI References</w:t>
      </w:r>
    </w:p>
    <w:bookmarkStart w:id="135" w:name="refs"/>
    <w:bookmarkStart w:id="8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4"/>
    <w:bookmarkStart w:id="8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6"/>
    <w:bookmarkStart w:id="88" w:name="ref-simon2011regularization"/>
    <w:p>
      <w:pPr>
        <w:pStyle w:val="Bibliography"/>
      </w:pPr>
      <w:r>
        <w:t xml:space="preserve">3.</w:t>
      </w:r>
      <w:r>
        <w:t xml:space="preserve"> </w:t>
      </w:r>
      <w:r>
        <w:t xml:space="preserve">	</w:t>
      </w:r>
      <w:r>
        <w:t xml:space="preserve">Simon, N., Friedman, J. H., Hastie, T. &amp; Tibshirani, R.</w:t>
      </w:r>
      <w:r>
        <w:t xml:space="preserve"> </w:t>
      </w:r>
      <w:hyperlink r:id="rId8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8"/>
    <w:bookmarkStart w:id="8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9"/>
    <w:bookmarkStart w:id="9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1"/>
    <w:bookmarkStart w:id="9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2"/>
    <w:bookmarkStart w:id="94" w:name="ref-brunet2004metagenes"/>
    <w:p>
      <w:pPr>
        <w:pStyle w:val="Bibliography"/>
      </w:pPr>
      <w:r>
        <w:t xml:space="preserve">7.</w:t>
      </w:r>
      <w:r>
        <w:t xml:space="preserve"> </w:t>
      </w:r>
      <w:r>
        <w:t xml:space="preserve">	</w:t>
      </w:r>
      <w:r>
        <w:t xml:space="preserve">Brunet, J.-P., Tamayo, P., Golub, T. R. &amp; Mesirov, J. P.</w:t>
      </w:r>
      <w:r>
        <w:t xml:space="preserve"> </w:t>
      </w:r>
      <w:hyperlink r:id="rId9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4"/>
    <w:bookmarkStart w:id="9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5">
        <w:r>
          <w:rPr>
            <w:rStyle w:val="Hyperlink"/>
          </w:rPr>
          <w:t xml:space="preserve">https://faculty.cc.gatech.edu/~hpark/papers/GT-CSE-08-01.pdf</w:t>
        </w:r>
      </w:hyperlink>
      <w:r>
        <w:t xml:space="preserve"> </w:t>
      </w:r>
      <w:r>
        <w:t xml:space="preserve">(2008).</w:t>
      </w:r>
    </w:p>
    <w:bookmarkEnd w:id="96"/>
    <w:bookmarkStart w:id="98" w:name="ref-gillis2012accelerated"/>
    <w:p>
      <w:pPr>
        <w:pStyle w:val="Bibliography"/>
      </w:pPr>
      <w:r>
        <w:t xml:space="preserve">9.</w:t>
      </w:r>
      <w:r>
        <w:t xml:space="preserve"> </w:t>
      </w:r>
      <w:r>
        <w:t xml:space="preserve">	</w:t>
      </w:r>
      <w:r>
        <w:t xml:space="preserve">Gillis, N. &amp; Glineur, F.</w:t>
      </w:r>
      <w:r>
        <w:t xml:space="preserve"> </w:t>
      </w:r>
      <w:hyperlink r:id="rId9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8"/>
    <w:bookmarkStart w:id="9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9"/>
    <w:bookmarkStart w:id="10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5"/>
    <w:bookmarkStart w:id="10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7"/>
    <w:bookmarkStart w:id="10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9"/>
    <w:bookmarkStart w:id="11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1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1"/>
    <w:bookmarkStart w:id="11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3"/>
    <w:bookmarkStart w:id="11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5"/>
    <w:bookmarkStart w:id="117" w:name="ref-peng2019novo"/>
    <w:p>
      <w:pPr>
        <w:pStyle w:val="Bibliography"/>
      </w:pPr>
      <w:r>
        <w:t xml:space="preserve">19.</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9"/>
    <w:bookmarkStart w:id="121"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20">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1"/>
    <w:bookmarkStart w:id="123"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5"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4">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5"/>
    <w:bookmarkStart w:id="127"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6">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7"/>
    <w:bookmarkStart w:id="12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8"/>
    <w:bookmarkStart w:id="130" w:name="ref-uno2011cstatistics"/>
    <w:p>
      <w:pPr>
        <w:pStyle w:val="Bibliography"/>
      </w:pPr>
      <w:r>
        <w:t xml:space="preserve">26.</w:t>
      </w:r>
      <w:r>
        <w:t xml:space="preserve"> </w:t>
      </w:r>
      <w:r>
        <w:t xml:space="preserve">	</w:t>
      </w:r>
      <w:r>
        <w:t xml:space="preserve">Uno, H., Cai, T., Pencina, M. J., D’Agostino, R. B. &amp; Wei, L. J.</w:t>
      </w:r>
      <w:r>
        <w:t xml:space="preserve"> </w:t>
      </w:r>
      <w:hyperlink r:id="rId129">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0"/>
    <w:bookmarkStart w:id="132" w:name="ref-antolini2005timedependent"/>
    <w:p>
      <w:pPr>
        <w:pStyle w:val="Bibliography"/>
      </w:pPr>
      <w:r>
        <w:t xml:space="preserve">27.</w:t>
      </w:r>
      <w:r>
        <w:t xml:space="preserve"> </w:t>
      </w:r>
      <w:r>
        <w:t xml:space="preserve">	</w:t>
      </w:r>
      <w:r>
        <w:t xml:space="preserve">Antolini, L., Boracchi, P. &amp; Biganzoli, E.</w:t>
      </w:r>
      <w:r>
        <w:t xml:space="preserve"> </w:t>
      </w:r>
      <w:hyperlink r:id="rId131">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2"/>
    <w:bookmarkStart w:id="134" w:name="ref-blanche2019cindex"/>
    <w:p>
      <w:pPr>
        <w:pStyle w:val="Bibliography"/>
      </w:pPr>
      <w:r>
        <w:t xml:space="preserve">28.</w:t>
      </w:r>
      <w:r>
        <w:t xml:space="preserve"> </w:t>
      </w:r>
      <w:r>
        <w:t xml:space="preserve">	</w:t>
      </w:r>
      <w:r>
        <w:t xml:space="preserve">Blanche, P., Kattan, M. W. &amp; Gerds, T. A.</w:t>
      </w:r>
      <w:r>
        <w:t xml:space="preserve"> </w:t>
      </w:r>
      <w:hyperlink r:id="rId133">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2026-09-14T13:56:17Z</dcterms:created>
  <dcterms:modified xsi:type="dcterms:W3CDTF">2026-09-14T13:56:17Z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