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Swagger Test Results</w:t>
      </w:r>
    </w:p>
    <w:p>
      <w:pPr>
        <w:pStyle w:val="Heading2"/>
      </w:pPr>
      <w:r>
        <w:t>JSON 1 - Main Endpoint Example</w:t>
      </w:r>
    </w:p>
    <w:p>
      <w:r>
        <w:t>{</w:t>
        <w:br/>
        <w:t xml:space="preserve">  "holdings": [</w:t>
        <w:br/>
        <w:t xml:space="preserve">    { "ticker": "SPY", "weight": 60 },</w:t>
        <w:br/>
        <w:t xml:space="preserve">    { "ticker": "AGG", "weight": 30 },</w:t>
        <w:br/>
        <w:t xml:space="preserve">    { "ticker": "GLD", "weight": 10 }</w:t>
        <w:br/>
        <w:t xml:space="preserve">  ],</w:t>
        <w:br/>
        <w:t xml:space="preserve">  "strategy": "minimize_volatility"</w:t>
        <w:br/>
        <w:t>}</w:t>
      </w:r>
    </w:p>
    <w:p>
      <w:r>
        <w:drawing>
          <wp:inline xmlns:a="http://schemas.openxmlformats.org/drawingml/2006/main" xmlns:pic="http://schemas.openxmlformats.org/drawingml/2006/picture">
            <wp:extent cx="5943600" cy="2519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JSON 2 - Constraints Example</w:t>
      </w:r>
    </w:p>
    <w:p>
      <w:r>
        <w:t>{</w:t>
        <w:br/>
        <w:t xml:space="preserve">  "constraints": {</w:t>
        <w:br/>
        <w:t xml:space="preserve">    "min_weight": 5,</w:t>
        <w:br/>
        <w:t xml:space="preserve">    "max_weight": 40,</w:t>
        <w:br/>
        <w:t xml:space="preserve">    "min_dividend_yield": 0.025,</w:t>
        <w:br/>
        <w:t xml:space="preserve">    "min_cagr": null,</w:t>
        <w:br/>
        <w:t xml:space="preserve">    "max_drawdown": null,</w:t>
        <w:br/>
        <w:t xml:space="preserve">    "volatility_min": null,</w:t>
        <w:br/>
        <w:t xml:space="preserve">    "volatility_max": null</w:t>
        <w:br/>
        <w:t xml:space="preserve">  }</w:t>
        <w:br/>
        <w:t>}</w:t>
      </w:r>
    </w:p>
    <w:p>
      <w:r>
        <w:drawing>
          <wp:inline xmlns:a="http://schemas.openxmlformats.org/drawingml/2006/main" xmlns:pic="http://schemas.openxmlformats.org/drawingml/2006/picture">
            <wp:extent cx="5943600" cy="1171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JSON 3 - Factor Exposure Example</w:t>
      </w:r>
    </w:p>
    <w:p>
      <w:r>
        <w:t>{</w:t>
        <w:br/>
        <w:t xml:space="preserve">  "holdings": [</w:t>
        <w:br/>
        <w:t xml:space="preserve">    { "ticker": "IEFA", "weight": 20 },</w:t>
        <w:br/>
        <w:t xml:space="preserve">    { "ticker": "GLD", "weight": 20 },</w:t>
        <w:br/>
        <w:t xml:space="preserve">    { "ticker": "AGG", "weight": 20 },</w:t>
        <w:br/>
        <w:t xml:space="preserve">    { "ticker": "VEA", "weight": 20 },</w:t>
        <w:br/>
        <w:t xml:space="preserve">    { "ticker": "SPY", "weight": 20 }</w:t>
        <w:br/>
        <w:t xml:space="preserve">  ],</w:t>
        <w:br/>
        <w:t xml:space="preserve">  "strategy": "optimize_factor_exposure",</w:t>
        <w:br/>
        <w:t xml:space="preserve">  "factor_target": "momentum"</w:t>
        <w:br/>
        <w:t>}</w:t>
      </w:r>
    </w:p>
    <w:p>
      <w:r>
        <w:drawing>
          <wp:inline xmlns:a="http://schemas.openxmlformats.org/drawingml/2006/main" xmlns:pic="http://schemas.openxmlformats.org/drawingml/2006/picture">
            <wp:extent cx="5943600" cy="25108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