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36B9" w14:textId="726538E3" w:rsidR="00D626CB" w:rsidRPr="001A278A" w:rsidRDefault="00000000" w:rsidP="001A278A">
      <w:pPr>
        <w:spacing w:after="12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A278A">
        <w:rPr>
          <w:rFonts w:ascii="Times New Roman" w:hAnsi="Times New Roman" w:cs="Times New Roman"/>
          <w:b/>
          <w:bCs/>
          <w:sz w:val="26"/>
          <w:szCs w:val="26"/>
        </w:rPr>
        <w:t xml:space="preserve">Multitenant </w:t>
      </w:r>
      <w:r w:rsidR="001A278A">
        <w:rPr>
          <w:rFonts w:ascii="Times New Roman" w:hAnsi="Times New Roman" w:cs="Times New Roman"/>
          <w:b/>
          <w:bCs/>
          <w:sz w:val="26"/>
          <w:szCs w:val="26"/>
        </w:rPr>
        <w:t xml:space="preserve">RAG </w:t>
      </w:r>
      <w:r w:rsidRPr="001A278A">
        <w:rPr>
          <w:rFonts w:ascii="Times New Roman" w:hAnsi="Times New Roman" w:cs="Times New Roman"/>
          <w:b/>
          <w:bCs/>
          <w:sz w:val="26"/>
          <w:szCs w:val="26"/>
        </w:rPr>
        <w:t>Architecture Design</w:t>
      </w:r>
    </w:p>
    <w:p w14:paraId="4D759578" w14:textId="0BC879F3" w:rsidR="007E76D7" w:rsidRPr="001A278A" w:rsidRDefault="00712E18" w:rsidP="001A278A">
      <w:pPr>
        <w:spacing w:after="120" w:line="276" w:lineRule="auto"/>
        <w:jc w:val="center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  <w:noProof/>
        </w:rPr>
        <w:drawing>
          <wp:inline distT="0" distB="0" distL="0" distR="0" wp14:anchorId="24FB0CB0" wp14:editId="2BA900F2">
            <wp:extent cx="6400800" cy="4667885"/>
            <wp:effectExtent l="0" t="0" r="0" b="0"/>
            <wp:docPr id="20670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9566" name="Picture 2067059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4E6B" w14:textId="77777777" w:rsidR="00D626CB" w:rsidRPr="001A278A" w:rsidRDefault="00000000" w:rsidP="001A278A">
      <w:pPr>
        <w:pStyle w:val="Heading1"/>
        <w:spacing w:before="1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1. Data Ingestion &amp; Indexing</w:t>
      </w:r>
    </w:p>
    <w:p w14:paraId="6634F04E" w14:textId="5D4DB3BB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Documents are chunked at </w:t>
      </w:r>
      <w:r w:rsidRPr="001A278A">
        <w:rPr>
          <w:rFonts w:ascii="Times New Roman" w:hAnsi="Times New Roman" w:cs="Times New Roman"/>
          <w:b/>
          <w:bCs/>
        </w:rPr>
        <w:t>section title boundaries</w:t>
      </w:r>
      <w:r w:rsidRPr="001A278A">
        <w:rPr>
          <w:rFonts w:ascii="Times New Roman" w:hAnsi="Times New Roman" w:cs="Times New Roman"/>
        </w:rPr>
        <w:t xml:space="preserve"> rather than fixed character counts, preserving document structure. Within each chunk, content types are handled individually: tables are converted to a readable text format and a </w:t>
      </w:r>
      <w:r w:rsidRPr="001A278A">
        <w:rPr>
          <w:rFonts w:ascii="Times New Roman" w:hAnsi="Times New Roman" w:cs="Times New Roman"/>
          <w:b/>
          <w:bCs/>
        </w:rPr>
        <w:t>searchable description of the full table</w:t>
      </w:r>
      <w:r w:rsidRPr="001A278A">
        <w:rPr>
          <w:rFonts w:ascii="Times New Roman" w:hAnsi="Times New Roman" w:cs="Times New Roman"/>
        </w:rPr>
        <w:t xml:space="preserve"> is generated so it is discoverable via semantic search even when no query term matches a cell value. Images are stored with a generated text description that is embedded and indexed, making visual content semantically searchable. The original image</w:t>
      </w:r>
      <w:r w:rsidR="001A278A" w:rsidRPr="001A278A">
        <w:rPr>
          <w:rFonts w:ascii="Times New Roman" w:hAnsi="Times New Roman" w:cs="Times New Roman"/>
        </w:rPr>
        <w:t xml:space="preserve"> and table</w:t>
      </w:r>
      <w:r w:rsidRPr="001A278A">
        <w:rPr>
          <w:rFonts w:ascii="Times New Roman" w:hAnsi="Times New Roman" w:cs="Times New Roman"/>
        </w:rPr>
        <w:t xml:space="preserve"> </w:t>
      </w:r>
      <w:proofErr w:type="gramStart"/>
      <w:r w:rsidRPr="001A278A">
        <w:rPr>
          <w:rFonts w:ascii="Times New Roman" w:hAnsi="Times New Roman" w:cs="Times New Roman"/>
        </w:rPr>
        <w:t>is</w:t>
      </w:r>
      <w:proofErr w:type="gramEnd"/>
      <w:r w:rsidRPr="001A278A">
        <w:rPr>
          <w:rFonts w:ascii="Times New Roman" w:hAnsi="Times New Roman" w:cs="Times New Roman"/>
        </w:rPr>
        <w:t xml:space="preserve"> returned to the language model at retrieval time for full context.</w:t>
      </w:r>
    </w:p>
    <w:p w14:paraId="7EA14657" w14:textId="08F4FA55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Retrieval uses </w:t>
      </w:r>
      <w:r w:rsidRPr="001A278A">
        <w:rPr>
          <w:rFonts w:ascii="Times New Roman" w:hAnsi="Times New Roman" w:cs="Times New Roman"/>
          <w:b/>
          <w:bCs/>
        </w:rPr>
        <w:t>hybrid search</w:t>
      </w:r>
      <w:r w:rsidRPr="001A278A">
        <w:rPr>
          <w:rFonts w:ascii="Times New Roman" w:hAnsi="Times New Roman" w:cs="Times New Roman"/>
        </w:rPr>
        <w:t>: dense vector search for semantic similarity and keyword-based sparse search for exact terms, product codes, and identifiers. Results are merged using rank fusion without manual score tuning.</w:t>
      </w:r>
    </w:p>
    <w:p w14:paraId="0C1477D0" w14:textId="77777777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  <w:b/>
          <w:bCs/>
        </w:rPr>
        <w:t>Vector store is chosen by dataset size and complexity per tenant: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100"/>
        <w:gridCol w:w="3660"/>
      </w:tblGrid>
      <w:tr w:rsidR="00D626CB" w:rsidRPr="001A278A" w14:paraId="189DBB03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11F3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5145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Store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B488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Tenancy model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B7E7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Trade-off</w:t>
            </w:r>
          </w:p>
        </w:tc>
      </w:tr>
      <w:tr w:rsidR="00D626CB" w:rsidRPr="001A278A" w14:paraId="6CCC221A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2E5D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Small–medium data per org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A28B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 xml:space="preserve">PostgreSQL + </w:t>
            </w:r>
            <w:proofErr w:type="spellStart"/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729B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Org ID column filter on every query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826B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Simple, low infra cost; keyword search weaker, compensated in app layer</w:t>
            </w:r>
          </w:p>
        </w:tc>
      </w:tr>
      <w:tr w:rsidR="00D626CB" w:rsidRPr="001A278A" w14:paraId="0A15742C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3A8D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Medium scale, clean isolation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1DD8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Qdrant</w:t>
            </w:r>
            <w:proofErr w:type="spellEnd"/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D396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One collection per tenant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25E3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Native hybrid search; slightly more infra to manage</w:t>
            </w:r>
          </w:p>
        </w:tc>
      </w:tr>
      <w:tr w:rsidR="00D626CB" w:rsidRPr="001A278A" w14:paraId="2126A814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7560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Large datasets, strict compliance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E953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Weaviate</w:t>
            </w:r>
            <w:proofErr w:type="spellEnd"/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DBF7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Built-in multi-tenancy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38CC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Best isolation and hybrid search; highest operational cost</w:t>
            </w:r>
          </w:p>
        </w:tc>
      </w:tr>
    </w:tbl>
    <w:p w14:paraId="630AC30E" w14:textId="77777777" w:rsidR="00D626CB" w:rsidRPr="001A278A" w:rsidRDefault="00D626CB" w:rsidP="001A278A">
      <w:pPr>
        <w:spacing w:after="80" w:line="276" w:lineRule="auto"/>
        <w:rPr>
          <w:rFonts w:ascii="Times New Roman" w:hAnsi="Times New Roman" w:cs="Times New Roman"/>
        </w:rPr>
      </w:pPr>
    </w:p>
    <w:p w14:paraId="2EE9EE57" w14:textId="77777777" w:rsidR="00D626CB" w:rsidRPr="001A278A" w:rsidRDefault="00000000" w:rsidP="001A278A">
      <w:pPr>
        <w:pStyle w:val="Heading1"/>
        <w:spacing w:before="1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2. Agentic Layer</w:t>
      </w:r>
    </w:p>
    <w:p w14:paraId="210159E1" w14:textId="77777777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lastRenderedPageBreak/>
        <w:t xml:space="preserve">The planner implements a </w:t>
      </w:r>
      <w:proofErr w:type="spellStart"/>
      <w:r w:rsidRPr="001A278A">
        <w:rPr>
          <w:rFonts w:ascii="Times New Roman" w:hAnsi="Times New Roman" w:cs="Times New Roman"/>
          <w:b/>
          <w:bCs/>
        </w:rPr>
        <w:t>ReAct</w:t>
      </w:r>
      <w:proofErr w:type="spellEnd"/>
      <w:r w:rsidR="001A278A" w:rsidRPr="001A278A">
        <w:rPr>
          <w:rFonts w:ascii="Times New Roman" w:hAnsi="Times New Roman" w:cs="Times New Roman"/>
          <w:b/>
          <w:bCs/>
        </w:rPr>
        <w:t>/Agentic</w:t>
      </w:r>
      <w:r w:rsidRPr="001A278A">
        <w:rPr>
          <w:rFonts w:ascii="Times New Roman" w:hAnsi="Times New Roman" w:cs="Times New Roman"/>
          <w:b/>
          <w:bCs/>
        </w:rPr>
        <w:t xml:space="preserve"> loop</w:t>
      </w:r>
      <w:r w:rsidRPr="001A278A">
        <w:rPr>
          <w:rFonts w:ascii="Times New Roman" w:hAnsi="Times New Roman" w:cs="Times New Roman"/>
        </w:rPr>
        <w:t xml:space="preserve"> via the language model's function-calling interface: </w:t>
      </w:r>
    </w:p>
    <w:p w14:paraId="738003F7" w14:textId="77777777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receive query → decide tools → call tools (independent tools run in parallel) → observe results → produce</w:t>
      </w:r>
      <w:r w:rsidR="001A278A" w:rsidRPr="001A278A">
        <w:rPr>
          <w:rFonts w:ascii="Times New Roman" w:hAnsi="Times New Roman" w:cs="Times New Roman"/>
        </w:rPr>
        <w:t xml:space="preserve"> </w:t>
      </w:r>
      <w:r w:rsidRPr="001A278A">
        <w:rPr>
          <w:rFonts w:ascii="Times New Roman" w:hAnsi="Times New Roman" w:cs="Times New Roman"/>
        </w:rPr>
        <w:t xml:space="preserve">answer. </w:t>
      </w:r>
    </w:p>
    <w:p w14:paraId="5F695BEA" w14:textId="2F0B940C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A maximum iteration limit prevents runaway loops; hitting it returns a graceful partial answer. The most critical engineering surface is </w:t>
      </w:r>
      <w:r w:rsidRPr="001A278A">
        <w:rPr>
          <w:rFonts w:ascii="Times New Roman" w:hAnsi="Times New Roman" w:cs="Times New Roman"/>
          <w:b/>
          <w:bCs/>
        </w:rPr>
        <w:t>tool description quality</w:t>
      </w:r>
      <w:r w:rsidR="001A278A" w:rsidRPr="001A278A">
        <w:rPr>
          <w:rFonts w:ascii="Times New Roman" w:hAnsi="Times New Roman" w:cs="Times New Roman"/>
          <w:b/>
          <w:bCs/>
        </w:rPr>
        <w:t>.</w:t>
      </w:r>
      <w:r w:rsidRPr="001A278A">
        <w:rPr>
          <w:rFonts w:ascii="Times New Roman" w:hAnsi="Times New Roman" w:cs="Times New Roman"/>
        </w:rPr>
        <w:t xml:space="preserve"> each description must state clearly when to use the tool and when not to, because this is what the planner reads to route correctly.</w:t>
      </w:r>
    </w:p>
    <w:p w14:paraId="67F817D1" w14:textId="77777777" w:rsidR="00D626CB" w:rsidRPr="001A278A" w:rsidRDefault="00D626CB" w:rsidP="001A278A">
      <w:pPr>
        <w:spacing w:after="60" w:line="276" w:lineRule="auto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626CB" w:rsidRPr="001A278A" w14:paraId="5A4EF5F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97C6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Query type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6184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Tools called</w:t>
            </w:r>
          </w:p>
        </w:tc>
      </w:tr>
      <w:tr w:rsidR="00D626CB" w:rsidRPr="001A278A" w14:paraId="5833FC3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1B75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Internal policy or document question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297A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Semantic search only</w:t>
            </w:r>
          </w:p>
        </w:tc>
      </w:tr>
      <w:tr w:rsidR="00D626CB" w:rsidRPr="001A278A" w14:paraId="260EA9C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D472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Real-time external data (weather, rates)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0D07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Dedicated external tool</w:t>
            </w:r>
          </w:p>
        </w:tc>
      </w:tr>
      <w:tr w:rsidR="00D626CB" w:rsidRPr="001A278A" w14:paraId="413074B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D24D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Current events not in the corpus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899F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Web search only</w:t>
            </w:r>
          </w:p>
        </w:tc>
      </w:tr>
      <w:tr w:rsidR="00D626CB" w:rsidRPr="001A278A" w14:paraId="7EEE8E5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CBFE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Internal data plus market context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CEBA" w14:textId="77777777" w:rsidR="00D626CB" w:rsidRPr="001A278A" w:rsidRDefault="00000000" w:rsidP="001A278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278A">
              <w:rPr>
                <w:rFonts w:ascii="Times New Roman" w:hAnsi="Times New Roman" w:cs="Times New Roman"/>
                <w:sz w:val="18"/>
                <w:szCs w:val="18"/>
              </w:rPr>
              <w:t>Semantic search + web search in parallel</w:t>
            </w:r>
          </w:p>
        </w:tc>
      </w:tr>
    </w:tbl>
    <w:p w14:paraId="20D842A1" w14:textId="77777777" w:rsidR="00D626CB" w:rsidRPr="001A278A" w:rsidRDefault="00D626CB" w:rsidP="001A278A">
      <w:pPr>
        <w:spacing w:after="80" w:line="276" w:lineRule="auto"/>
        <w:rPr>
          <w:rFonts w:ascii="Times New Roman" w:hAnsi="Times New Roman" w:cs="Times New Roman"/>
        </w:rPr>
      </w:pPr>
    </w:p>
    <w:p w14:paraId="2380E0D9" w14:textId="77777777" w:rsidR="00D626CB" w:rsidRPr="001A278A" w:rsidRDefault="00000000" w:rsidP="001A278A">
      <w:pPr>
        <w:pStyle w:val="Heading1"/>
        <w:spacing w:before="1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3. Cost, Latency &amp; Caching</w:t>
      </w:r>
    </w:p>
    <w:p w14:paraId="02CDCA91" w14:textId="77777777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  <w:b/>
          <w:bCs/>
        </w:rPr>
        <w:t>Three cache layers</w:t>
      </w:r>
      <w:r w:rsidRPr="001A278A">
        <w:rPr>
          <w:rFonts w:ascii="Times New Roman" w:hAnsi="Times New Roman" w:cs="Times New Roman"/>
        </w:rPr>
        <w:t xml:space="preserve">: </w:t>
      </w:r>
    </w:p>
    <w:p w14:paraId="6C02A9CE" w14:textId="6719657D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(1) </w:t>
      </w:r>
      <w:r w:rsidRPr="001A278A">
        <w:rPr>
          <w:rFonts w:ascii="Times New Roman" w:hAnsi="Times New Roman" w:cs="Times New Roman"/>
          <w:b/>
          <w:bCs/>
        </w:rPr>
        <w:t>Prompt cache</w:t>
      </w:r>
      <w:r w:rsidR="001A278A" w:rsidRPr="001A278A">
        <w:rPr>
          <w:rFonts w:ascii="Times New Roman" w:hAnsi="Times New Roman" w:cs="Times New Roman"/>
        </w:rPr>
        <w:t>:</w:t>
      </w:r>
      <w:r w:rsidRPr="001A278A">
        <w:rPr>
          <w:rFonts w:ascii="Times New Roman" w:hAnsi="Times New Roman" w:cs="Times New Roman"/>
        </w:rPr>
        <w:t xml:space="preserve"> long system prompts and repeated document blocks pinned to the provider's prompt cache, reducing prompt token cost on repeated queries. </w:t>
      </w:r>
    </w:p>
    <w:p w14:paraId="54BE15CD" w14:textId="36AB8A10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(2) </w:t>
      </w:r>
      <w:r w:rsidRPr="001A278A">
        <w:rPr>
          <w:rFonts w:ascii="Times New Roman" w:hAnsi="Times New Roman" w:cs="Times New Roman"/>
          <w:b/>
          <w:bCs/>
        </w:rPr>
        <w:t>Vector query cache</w:t>
      </w:r>
      <w:r w:rsidR="001A278A" w:rsidRPr="001A278A">
        <w:rPr>
          <w:rFonts w:ascii="Times New Roman" w:hAnsi="Times New Roman" w:cs="Times New Roman"/>
        </w:rPr>
        <w:t>:</w:t>
      </w:r>
      <w:r w:rsidRPr="001A278A">
        <w:rPr>
          <w:rFonts w:ascii="Times New Roman" w:hAnsi="Times New Roman" w:cs="Times New Roman"/>
        </w:rPr>
        <w:t xml:space="preserve"> same organisation, same query skips embedding and search entirely; cache key includes org ID and normalised query, invalidated on document update. </w:t>
      </w:r>
    </w:p>
    <w:p w14:paraId="599EDB41" w14:textId="75EF24F4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(3) </w:t>
      </w:r>
      <w:r w:rsidRPr="001A278A">
        <w:rPr>
          <w:rFonts w:ascii="Times New Roman" w:hAnsi="Times New Roman" w:cs="Times New Roman"/>
          <w:b/>
          <w:bCs/>
        </w:rPr>
        <w:t>Tool response cache</w:t>
      </w:r>
      <w:r w:rsidR="001A278A" w:rsidRPr="001A278A">
        <w:rPr>
          <w:rFonts w:ascii="Times New Roman" w:hAnsi="Times New Roman" w:cs="Times New Roman"/>
        </w:rPr>
        <w:t xml:space="preserve">: </w:t>
      </w:r>
      <w:r w:rsidRPr="001A278A">
        <w:rPr>
          <w:rFonts w:ascii="Times New Roman" w:hAnsi="Times New Roman" w:cs="Times New Roman"/>
        </w:rPr>
        <w:t>external tool results cached with per-tool expiry windows sized to how quickly the data changes (e.g. weather shorter, web results longer).</w:t>
      </w:r>
    </w:p>
    <w:p w14:paraId="580ED756" w14:textId="5ABA7AA5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Every agent step is timed and token counts are captured from the model response. Structured output includes per-step latency and token usage, feeding cost dashboards and per-tenant billing. </w:t>
      </w:r>
    </w:p>
    <w:p w14:paraId="4C67E318" w14:textId="77777777" w:rsidR="00D626CB" w:rsidRPr="001A278A" w:rsidRDefault="00000000" w:rsidP="001A278A">
      <w:pPr>
        <w:pStyle w:val="Heading1"/>
        <w:spacing w:before="1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4. Security &amp; Multitenancy</w:t>
      </w:r>
    </w:p>
    <w:p w14:paraId="70FE8449" w14:textId="683F86D9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Every vector search includes a mandatory </w:t>
      </w:r>
      <w:r w:rsidRPr="001A278A">
        <w:rPr>
          <w:rFonts w:ascii="Times New Roman" w:hAnsi="Times New Roman" w:cs="Times New Roman"/>
          <w:b/>
          <w:bCs/>
        </w:rPr>
        <w:t>org ID filter injected server-side</w:t>
      </w:r>
      <w:r w:rsidRPr="001A278A">
        <w:rPr>
          <w:rFonts w:ascii="Times New Roman" w:hAnsi="Times New Roman" w:cs="Times New Roman"/>
        </w:rPr>
        <w:t xml:space="preserve"> at the retrieval layer not in the application layer. A query cannot reach another tenant's data. Within a tenant, </w:t>
      </w:r>
      <w:r w:rsidRPr="001A278A">
        <w:rPr>
          <w:rFonts w:ascii="Times New Roman" w:hAnsi="Times New Roman" w:cs="Times New Roman"/>
          <w:b/>
          <w:bCs/>
        </w:rPr>
        <w:t>RBAC</w:t>
      </w:r>
      <w:r w:rsidRPr="001A278A">
        <w:rPr>
          <w:rFonts w:ascii="Times New Roman" w:hAnsi="Times New Roman" w:cs="Times New Roman"/>
        </w:rPr>
        <w:t xml:space="preserve"> resolves the user's permitted document IDs before retrieval and applies them as an additional filter, giving document-level access control. Every agent invocation is written to an </w:t>
      </w:r>
      <w:r w:rsidRPr="001A278A">
        <w:rPr>
          <w:rFonts w:ascii="Times New Roman" w:hAnsi="Times New Roman" w:cs="Times New Roman"/>
          <w:b/>
          <w:bCs/>
        </w:rPr>
        <w:t>append-only audit log</w:t>
      </w:r>
      <w:r w:rsidRPr="001A278A">
        <w:rPr>
          <w:rFonts w:ascii="Times New Roman" w:hAnsi="Times New Roman" w:cs="Times New Roman"/>
        </w:rPr>
        <w:t xml:space="preserve"> capturing org ID, user ID, query, tools called, latency, and token usage, retained 90 days.</w:t>
      </w:r>
    </w:p>
    <w:p w14:paraId="6F25E9D0" w14:textId="77777777" w:rsidR="00D626CB" w:rsidRPr="001A278A" w:rsidRDefault="00000000" w:rsidP="001A278A">
      <w:pPr>
        <w:pStyle w:val="Heading1"/>
        <w:spacing w:before="1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5. Observability</w:t>
      </w:r>
    </w:p>
    <w:p w14:paraId="31D934C0" w14:textId="77777777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Each agent run produces a </w:t>
      </w:r>
      <w:r w:rsidRPr="001A278A">
        <w:rPr>
          <w:rFonts w:ascii="Times New Roman" w:hAnsi="Times New Roman" w:cs="Times New Roman"/>
          <w:b/>
          <w:bCs/>
        </w:rPr>
        <w:t>distributed trace</w:t>
      </w:r>
      <w:r w:rsidRPr="001A278A">
        <w:rPr>
          <w:rFonts w:ascii="Times New Roman" w:hAnsi="Times New Roman" w:cs="Times New Roman"/>
        </w:rPr>
        <w:t xml:space="preserve"> with one span per step (planner, each tool call, synthesis), exported to an LLM-native observability tool (</w:t>
      </w:r>
      <w:proofErr w:type="spellStart"/>
      <w:r w:rsidRPr="001A278A">
        <w:rPr>
          <w:rFonts w:ascii="Times New Roman" w:hAnsi="Times New Roman" w:cs="Times New Roman"/>
        </w:rPr>
        <w:t>Langfuse</w:t>
      </w:r>
      <w:proofErr w:type="spellEnd"/>
      <w:r w:rsidRPr="001A278A">
        <w:rPr>
          <w:rFonts w:ascii="Times New Roman" w:hAnsi="Times New Roman" w:cs="Times New Roman"/>
        </w:rPr>
        <w:t xml:space="preserve"> preferred open-source, self-hostable; </w:t>
      </w:r>
      <w:proofErr w:type="spellStart"/>
      <w:r w:rsidRPr="001A278A">
        <w:rPr>
          <w:rFonts w:ascii="Times New Roman" w:hAnsi="Times New Roman" w:cs="Times New Roman"/>
        </w:rPr>
        <w:t>LangSmith</w:t>
      </w:r>
      <w:proofErr w:type="spellEnd"/>
      <w:r w:rsidRPr="001A278A">
        <w:rPr>
          <w:rFonts w:ascii="Times New Roman" w:hAnsi="Times New Roman" w:cs="Times New Roman"/>
        </w:rPr>
        <w:t xml:space="preserve"> as alternative) with a standard protocol bridge to Grafana. </w:t>
      </w:r>
    </w:p>
    <w:p w14:paraId="222FB7A4" w14:textId="269B60B1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Key metrics: agent latency, token usage by tenant and cache hit status, tool error rate by tool name. </w:t>
      </w:r>
      <w:r w:rsidRPr="001A278A">
        <w:rPr>
          <w:rFonts w:ascii="Times New Roman" w:hAnsi="Times New Roman" w:cs="Times New Roman"/>
          <w:b/>
          <w:bCs/>
        </w:rPr>
        <w:t>Failed runs</w:t>
      </w:r>
      <w:r w:rsidRPr="001A278A">
        <w:rPr>
          <w:rFonts w:ascii="Times New Roman" w:hAnsi="Times New Roman" w:cs="Times New Roman"/>
        </w:rPr>
        <w:t xml:space="preserve"> are written to a failures table with the full trace so engineers can replay against a patched configuration without re-triggering the user request.</w:t>
      </w:r>
    </w:p>
    <w:p w14:paraId="1BA4D2C4" w14:textId="77777777" w:rsidR="00D626CB" w:rsidRPr="001A278A" w:rsidRDefault="00000000" w:rsidP="001A278A">
      <w:pPr>
        <w:pStyle w:val="Heading1"/>
        <w:spacing w:before="1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>6. Deployment</w:t>
      </w:r>
    </w:p>
    <w:p w14:paraId="72CF9DC2" w14:textId="77777777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Service is packaged as a </w:t>
      </w:r>
      <w:r w:rsidRPr="001A278A">
        <w:rPr>
          <w:rFonts w:ascii="Times New Roman" w:hAnsi="Times New Roman" w:cs="Times New Roman"/>
          <w:b/>
          <w:bCs/>
        </w:rPr>
        <w:t>single container image</w:t>
      </w:r>
      <w:r w:rsidRPr="001A278A">
        <w:rPr>
          <w:rFonts w:ascii="Times New Roman" w:hAnsi="Times New Roman" w:cs="Times New Roman"/>
        </w:rPr>
        <w:t xml:space="preserve"> (minimal base, pinned dependencies, non-root user) deployed on Azure Container Apps or equivalent. </w:t>
      </w:r>
    </w:p>
    <w:p w14:paraId="428327F2" w14:textId="77777777" w:rsidR="001A278A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  <w:b/>
          <w:bCs/>
        </w:rPr>
        <w:t>CI/CD pipeline</w:t>
      </w:r>
      <w:r w:rsidRPr="001A278A">
        <w:rPr>
          <w:rFonts w:ascii="Times New Roman" w:hAnsi="Times New Roman" w:cs="Times New Roman"/>
        </w:rPr>
        <w:t xml:space="preserve">: lint → unit tests → build image → staging </w:t>
      </w:r>
      <w:proofErr w:type="gramStart"/>
      <w:r w:rsidRPr="001A278A">
        <w:rPr>
          <w:rFonts w:ascii="Times New Roman" w:hAnsi="Times New Roman" w:cs="Times New Roman"/>
        </w:rPr>
        <w:t>deploy</w:t>
      </w:r>
      <w:proofErr w:type="gramEnd"/>
      <w:r w:rsidRPr="001A278A">
        <w:rPr>
          <w:rFonts w:ascii="Times New Roman" w:hAnsi="Times New Roman" w:cs="Times New Roman"/>
        </w:rPr>
        <w:t xml:space="preserve"> → integration tests → manual approval → production. </w:t>
      </w:r>
    </w:p>
    <w:p w14:paraId="1D3667EC" w14:textId="21E3FD8F" w:rsidR="00D626CB" w:rsidRPr="001A278A" w:rsidRDefault="00000000" w:rsidP="001A278A">
      <w:pPr>
        <w:spacing w:after="80" w:line="276" w:lineRule="auto"/>
        <w:rPr>
          <w:rFonts w:ascii="Times New Roman" w:hAnsi="Times New Roman" w:cs="Times New Roman"/>
        </w:rPr>
      </w:pPr>
      <w:r w:rsidRPr="001A278A">
        <w:rPr>
          <w:rFonts w:ascii="Times New Roman" w:hAnsi="Times New Roman" w:cs="Times New Roman"/>
        </w:rPr>
        <w:t xml:space="preserve">Releases use a </w:t>
      </w:r>
      <w:r w:rsidRPr="001A278A">
        <w:rPr>
          <w:rFonts w:ascii="Times New Roman" w:hAnsi="Times New Roman" w:cs="Times New Roman"/>
          <w:b/>
          <w:bCs/>
        </w:rPr>
        <w:t>canary strategy</w:t>
      </w:r>
      <w:r w:rsidRPr="001A278A">
        <w:rPr>
          <w:rFonts w:ascii="Times New Roman" w:hAnsi="Times New Roman" w:cs="Times New Roman"/>
        </w:rPr>
        <w:t>: new version takes 10% of traffic, metrics monitored for 30 minutes, then promoted to 100% or auto-rolled back. Canary is preferred over blue/green because it avoids running two full environments simultaneously and provides real production signal on subtle quality regressions rather than just uptime signals.</w:t>
      </w:r>
    </w:p>
    <w:p w14:paraId="6CEEBE0E" w14:textId="30ECB84B" w:rsidR="00D626CB" w:rsidRPr="001A278A" w:rsidRDefault="00D626CB" w:rsidP="001A278A">
      <w:pPr>
        <w:spacing w:line="276" w:lineRule="auto"/>
        <w:rPr>
          <w:rFonts w:ascii="Times New Roman" w:hAnsi="Times New Roman" w:cs="Times New Roman"/>
        </w:rPr>
      </w:pPr>
    </w:p>
    <w:sectPr w:rsidR="00D626CB" w:rsidRPr="001A27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429A"/>
    <w:multiLevelType w:val="hybridMultilevel"/>
    <w:tmpl w:val="C83424A2"/>
    <w:lvl w:ilvl="0" w:tplc="C21E746C">
      <w:start w:val="1"/>
      <w:numFmt w:val="bullet"/>
      <w:lvlText w:val="●"/>
      <w:lvlJc w:val="left"/>
      <w:pPr>
        <w:ind w:left="720" w:hanging="360"/>
      </w:pPr>
    </w:lvl>
    <w:lvl w:ilvl="1" w:tplc="D518A024">
      <w:start w:val="1"/>
      <w:numFmt w:val="bullet"/>
      <w:lvlText w:val="○"/>
      <w:lvlJc w:val="left"/>
      <w:pPr>
        <w:ind w:left="1440" w:hanging="360"/>
      </w:pPr>
    </w:lvl>
    <w:lvl w:ilvl="2" w:tplc="2D103B36">
      <w:start w:val="1"/>
      <w:numFmt w:val="bullet"/>
      <w:lvlText w:val="■"/>
      <w:lvlJc w:val="left"/>
      <w:pPr>
        <w:ind w:left="2160" w:hanging="360"/>
      </w:pPr>
    </w:lvl>
    <w:lvl w:ilvl="3" w:tplc="D5781CCC">
      <w:start w:val="1"/>
      <w:numFmt w:val="bullet"/>
      <w:lvlText w:val="●"/>
      <w:lvlJc w:val="left"/>
      <w:pPr>
        <w:ind w:left="2880" w:hanging="360"/>
      </w:pPr>
    </w:lvl>
    <w:lvl w:ilvl="4" w:tplc="150CC65C">
      <w:start w:val="1"/>
      <w:numFmt w:val="bullet"/>
      <w:lvlText w:val="○"/>
      <w:lvlJc w:val="left"/>
      <w:pPr>
        <w:ind w:left="3600" w:hanging="360"/>
      </w:pPr>
    </w:lvl>
    <w:lvl w:ilvl="5" w:tplc="417C8AE6">
      <w:start w:val="1"/>
      <w:numFmt w:val="bullet"/>
      <w:lvlText w:val="■"/>
      <w:lvlJc w:val="left"/>
      <w:pPr>
        <w:ind w:left="4320" w:hanging="360"/>
      </w:pPr>
    </w:lvl>
    <w:lvl w:ilvl="6" w:tplc="1758D602">
      <w:start w:val="1"/>
      <w:numFmt w:val="bullet"/>
      <w:lvlText w:val="●"/>
      <w:lvlJc w:val="left"/>
      <w:pPr>
        <w:ind w:left="5040" w:hanging="360"/>
      </w:pPr>
    </w:lvl>
    <w:lvl w:ilvl="7" w:tplc="B67C5FF2">
      <w:start w:val="1"/>
      <w:numFmt w:val="bullet"/>
      <w:lvlText w:val="●"/>
      <w:lvlJc w:val="left"/>
      <w:pPr>
        <w:ind w:left="5760" w:hanging="360"/>
      </w:pPr>
    </w:lvl>
    <w:lvl w:ilvl="8" w:tplc="62BC3C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3936C1"/>
    <w:multiLevelType w:val="hybridMultilevel"/>
    <w:tmpl w:val="73E47D24"/>
    <w:lvl w:ilvl="0" w:tplc="5C78C97A">
      <w:start w:val="1"/>
      <w:numFmt w:val="bullet"/>
      <w:lvlText w:val="•"/>
      <w:lvlJc w:val="left"/>
      <w:pPr>
        <w:spacing w:after="40"/>
        <w:ind w:left="560" w:hanging="280"/>
      </w:pPr>
    </w:lvl>
    <w:lvl w:ilvl="1" w:tplc="026071FC">
      <w:numFmt w:val="decimal"/>
      <w:lvlText w:val=""/>
      <w:lvlJc w:val="left"/>
    </w:lvl>
    <w:lvl w:ilvl="2" w:tplc="3F866602">
      <w:numFmt w:val="decimal"/>
      <w:lvlText w:val=""/>
      <w:lvlJc w:val="left"/>
    </w:lvl>
    <w:lvl w:ilvl="3" w:tplc="E8CEB4CE">
      <w:numFmt w:val="decimal"/>
      <w:lvlText w:val=""/>
      <w:lvlJc w:val="left"/>
    </w:lvl>
    <w:lvl w:ilvl="4" w:tplc="DECE1ED6">
      <w:numFmt w:val="decimal"/>
      <w:lvlText w:val=""/>
      <w:lvlJc w:val="left"/>
    </w:lvl>
    <w:lvl w:ilvl="5" w:tplc="7004DB64">
      <w:numFmt w:val="decimal"/>
      <w:lvlText w:val=""/>
      <w:lvlJc w:val="left"/>
    </w:lvl>
    <w:lvl w:ilvl="6" w:tplc="03EA6AF0">
      <w:numFmt w:val="decimal"/>
      <w:lvlText w:val=""/>
      <w:lvlJc w:val="left"/>
    </w:lvl>
    <w:lvl w:ilvl="7" w:tplc="17300AC0">
      <w:numFmt w:val="decimal"/>
      <w:lvlText w:val=""/>
      <w:lvlJc w:val="left"/>
    </w:lvl>
    <w:lvl w:ilvl="8" w:tplc="BFB8A6C8">
      <w:numFmt w:val="decimal"/>
      <w:lvlText w:val=""/>
      <w:lvlJc w:val="left"/>
    </w:lvl>
  </w:abstractNum>
  <w:num w:numId="1" w16cid:durableId="519050713">
    <w:abstractNumId w:val="0"/>
    <w:lvlOverride w:ilvl="0">
      <w:startOverride w:val="1"/>
    </w:lvlOverride>
  </w:num>
  <w:num w:numId="2" w16cid:durableId="3815659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6CB"/>
    <w:rsid w:val="001A278A"/>
    <w:rsid w:val="0031503B"/>
    <w:rsid w:val="00483A0D"/>
    <w:rsid w:val="00712E18"/>
    <w:rsid w:val="007E76D7"/>
    <w:rsid w:val="007F275B"/>
    <w:rsid w:val="00D6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1ED6"/>
  <w15:docId w15:val="{7E5F5AE9-071C-4ED1-BC68-876F45E3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Rashid ul Haq</cp:lastModifiedBy>
  <cp:revision>3</cp:revision>
  <dcterms:created xsi:type="dcterms:W3CDTF">2026-06-10T05:45:00Z</dcterms:created>
  <dcterms:modified xsi:type="dcterms:W3CDTF">2026-06-10T18:42:00Z</dcterms:modified>
</cp:coreProperties>
</file>