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Calibri" w:hAnsi="Calibri"/>
          <w:b/>
          <w:color w:val="1F497D"/>
          <w:sz w:val="44"/>
        </w:rPr>
        <w:t>NSE Volume Breakout Strategy</w:t>
      </w:r>
    </w:p>
    <w:p>
      <w:pPr>
        <w:jc w:val="center"/>
      </w:pPr>
      <w:r>
        <w:rPr>
          <w:rFonts w:ascii="Calibri" w:hAnsi="Calibri"/>
          <w:color w:val="2E74B5"/>
          <w:sz w:val="26"/>
        </w:rPr>
        <w:t>Complete Calculation Guide with Real-Life Examples</w:t>
      </w:r>
    </w:p>
    <w:p>
      <w:pPr>
        <w:jc w:val="center"/>
      </w:pPr>
      <w:r>
        <w:rPr>
          <w:rFonts w:ascii="Calibri" w:hAnsi="Calibri"/>
          <w:i/>
          <w:color w:val="404040"/>
          <w:sz w:val="20"/>
        </w:rPr>
        <w:t>Parameters: LB = 36 days   |   VM = 6×   |   Date: July 14, 2026</w:t>
      </w:r>
    </w:p>
    <w:p/>
    <w:p>
      <w:pPr>
        <w:spacing w:before="320" w:after="80"/>
        <w:ind w:left="0"/>
        <w:pBdr>
          <w:bottom w:val="single" w:sz="6" w:space="1" w:color="2E74B5"/>
        </w:pBdr>
      </w:pPr>
      <w:r>
        <w:rPr>
          <w:rFonts w:ascii="Calibri" w:hAnsi="Calibri"/>
          <w:b/>
          <w:color w:val="1F497D"/>
          <w:sz w:val="32"/>
        </w:rPr>
        <w:t>1. What Is the Trade List File?</w:t>
      </w:r>
    </w:p>
    <w:p>
      <w:pPr>
        <w:spacing w:before="20" w:after="60"/>
      </w:pPr>
      <w:r>
        <w:rPr>
          <w:rFonts w:ascii="Calibri" w:hAnsi="Calibri"/>
          <w:b w:val="0"/>
          <w:i w:val="0"/>
          <w:color w:val="000000"/>
          <w:sz w:val="20"/>
        </w:rPr>
        <w:t>The file  trade_list_2026-07-14.csv  is today's live trading signal output. It lists every NSE-listed stock that passed all four screening criteria as of 3:15 PM on that date. Each row is one stock you should consider buying at 3:15 PM on the signal day and selling the next morning.</w:t>
      </w:r>
    </w:p>
    <w:p>
      <w:pPr>
        <w:spacing w:before="20" w:after="60"/>
      </w:pPr>
      <w:r>
        <w:rPr>
          <w:rFonts w:ascii="Calibri" w:hAnsi="Calibri"/>
          <w:b/>
          <w:i w:val="0"/>
          <w:color w:val="000000"/>
          <w:sz w:val="20"/>
        </w:rPr>
        <w:t>The file contains exactly these columns:</w:t>
      </w:r>
    </w:p>
    <w:tbl>
      <w:tblPr>
        <w:tblStyle w:val="TableGrid"/>
        <w:tblW w:type="auto" w:w="0"/>
        <w:tblLook w:firstColumn="1" w:firstRow="1" w:lastColumn="0" w:lastRow="0" w:noHBand="0" w:noVBand="1" w:val="04A0"/>
      </w:tblPr>
      <w:tblGrid>
        <w:gridCol w:w="4703"/>
        <w:gridCol w:w="4703"/>
      </w:tblGrid>
      <w:tr>
        <w:tc>
          <w:tcPr>
            <w:tcW w:type="dxa" w:w="2880"/>
            <w:shd w:val="clear" w:color="auto" w:fill="2E74B5"/>
          </w:tcPr>
          <w:p>
            <w:pPr>
              <w:jc w:val="center"/>
            </w:pPr>
            <w:r>
              <w:rPr>
                <w:rFonts w:ascii="Calibri" w:hAnsi="Calibri"/>
                <w:b/>
                <w:color w:val="FFFFFF"/>
                <w:sz w:val="18"/>
              </w:rPr>
              <w:t>Column</w:t>
            </w:r>
          </w:p>
        </w:tc>
        <w:tc>
          <w:tcPr>
            <w:tcW w:type="dxa" w:w="6048"/>
            <w:shd w:val="clear" w:color="auto" w:fill="2E74B5"/>
          </w:tcPr>
          <w:p>
            <w:pPr>
              <w:jc w:val="center"/>
            </w:pPr>
            <w:r>
              <w:rPr>
                <w:rFonts w:ascii="Calibri" w:hAnsi="Calibri"/>
                <w:b/>
                <w:color w:val="FFFFFF"/>
                <w:sz w:val="18"/>
              </w:rPr>
              <w:t>What It Means</w:t>
            </w:r>
          </w:p>
        </w:tc>
      </w:tr>
      <w:tr>
        <w:tc>
          <w:tcPr>
            <w:tcW w:type="dxa" w:w="2880"/>
            <w:shd w:val="clear" w:color="auto" w:fill="EAF2FF"/>
          </w:tcPr>
          <w:p>
            <w:pPr>
              <w:jc w:val="center"/>
            </w:pPr>
            <w:r>
              <w:rPr>
                <w:rFonts w:ascii="Calibri" w:hAnsi="Calibri"/>
                <w:sz w:val="18"/>
              </w:rPr>
              <w:t>symbol</w:t>
            </w:r>
          </w:p>
        </w:tc>
        <w:tc>
          <w:tcPr>
            <w:tcW w:type="dxa" w:w="6048"/>
            <w:shd w:val="clear" w:color="auto" w:fill="EAF2FF"/>
          </w:tcPr>
          <w:p>
            <w:pPr>
              <w:jc w:val="center"/>
            </w:pPr>
            <w:r>
              <w:rPr>
                <w:rFonts w:ascii="Calibri" w:hAnsi="Calibri"/>
                <w:sz w:val="18"/>
              </w:rPr>
              <w:t>NSE ticker (e.g. DYCL, HGS)</w:t>
            </w:r>
          </w:p>
        </w:tc>
      </w:tr>
      <w:tr>
        <w:tc>
          <w:tcPr>
            <w:tcW w:type="dxa" w:w="2880"/>
            <w:shd w:val="clear" w:color="auto" w:fill="FFFFFF"/>
          </w:tcPr>
          <w:p>
            <w:pPr>
              <w:jc w:val="center"/>
            </w:pPr>
            <w:r>
              <w:rPr>
                <w:rFonts w:ascii="Calibri" w:hAnsi="Calibri"/>
                <w:sz w:val="18"/>
              </w:rPr>
              <w:t>date</w:t>
            </w:r>
          </w:p>
        </w:tc>
        <w:tc>
          <w:tcPr>
            <w:tcW w:type="dxa" w:w="6048"/>
            <w:shd w:val="clear" w:color="auto" w:fill="FFFFFF"/>
          </w:tcPr>
          <w:p>
            <w:pPr>
              <w:jc w:val="center"/>
            </w:pPr>
            <w:r>
              <w:rPr>
                <w:rFonts w:ascii="Calibri" w:hAnsi="Calibri"/>
                <w:sz w:val="18"/>
              </w:rPr>
              <w:t>The trading day on which the signal fired (entry date)</w:t>
            </w:r>
          </w:p>
        </w:tc>
      </w:tr>
      <w:tr>
        <w:tc>
          <w:tcPr>
            <w:tcW w:type="dxa" w:w="2880"/>
            <w:shd w:val="clear" w:color="auto" w:fill="EAF2FF"/>
          </w:tcPr>
          <w:p>
            <w:pPr>
              <w:jc w:val="center"/>
            </w:pPr>
            <w:r>
              <w:rPr>
                <w:rFonts w:ascii="Calibri" w:hAnsi="Calibri"/>
                <w:sz w:val="18"/>
              </w:rPr>
              <w:t>entry_price_315pm</w:t>
            </w:r>
          </w:p>
        </w:tc>
        <w:tc>
          <w:tcPr>
            <w:tcW w:type="dxa" w:w="6048"/>
            <w:shd w:val="clear" w:color="auto" w:fill="EAF2FF"/>
          </w:tcPr>
          <w:p>
            <w:pPr>
              <w:jc w:val="center"/>
            </w:pPr>
            <w:r>
              <w:rPr>
                <w:rFonts w:ascii="Calibri" w:hAnsi="Calibri"/>
                <w:sz w:val="18"/>
              </w:rPr>
              <w:t>The OPEN of the 3:15 PM candle — your actual buy price</w:t>
            </w:r>
          </w:p>
        </w:tc>
      </w:tr>
      <w:tr>
        <w:tc>
          <w:tcPr>
            <w:tcW w:type="dxa" w:w="2880"/>
            <w:shd w:val="clear" w:color="auto" w:fill="FFFFFF"/>
          </w:tcPr>
          <w:p>
            <w:pPr>
              <w:jc w:val="center"/>
            </w:pPr>
            <w:r>
              <w:rPr>
                <w:rFonts w:ascii="Calibri" w:hAnsi="Calibri"/>
                <w:sz w:val="18"/>
              </w:rPr>
              <w:t>market_cap_value</w:t>
            </w:r>
          </w:p>
        </w:tc>
        <w:tc>
          <w:tcPr>
            <w:tcW w:type="dxa" w:w="6048"/>
            <w:shd w:val="clear" w:color="auto" w:fill="FFFFFF"/>
          </w:tcPr>
          <w:p>
            <w:pPr>
              <w:jc w:val="center"/>
            </w:pPr>
            <w:r>
              <w:rPr>
                <w:rFonts w:ascii="Calibri" w:hAnsi="Calibri"/>
                <w:sz w:val="18"/>
              </w:rPr>
              <w:t>Company market cap in Crores (₹ Cr) from the nearest NSE snapshot</w:t>
            </w:r>
          </w:p>
        </w:tc>
      </w:tr>
      <w:tr>
        <w:tc>
          <w:tcPr>
            <w:tcW w:type="dxa" w:w="2880"/>
            <w:shd w:val="clear" w:color="auto" w:fill="EAF2FF"/>
          </w:tcPr>
          <w:p>
            <w:pPr>
              <w:jc w:val="center"/>
            </w:pPr>
            <w:r>
              <w:rPr>
                <w:rFonts w:ascii="Calibri" w:hAnsi="Calibri"/>
                <w:sz w:val="18"/>
              </w:rPr>
              <w:t>volume_ratio</w:t>
            </w:r>
          </w:p>
        </w:tc>
        <w:tc>
          <w:tcPr>
            <w:tcW w:type="dxa" w:w="6048"/>
            <w:shd w:val="clear" w:color="auto" w:fill="EAF2FF"/>
          </w:tcPr>
          <w:p>
            <w:pPr>
              <w:jc w:val="center"/>
            </w:pPr>
            <w:r>
              <w:rPr>
                <w:rFonts w:ascii="Calibri" w:hAnsi="Calibri"/>
                <w:sz w:val="18"/>
              </w:rPr>
              <w:t>Today's cumulative volume ÷ 36-day average. Must be ≥ 6×</w:t>
            </w:r>
          </w:p>
        </w:tc>
      </w:tr>
      <w:tr>
        <w:tc>
          <w:tcPr>
            <w:tcW w:type="dxa" w:w="2880"/>
            <w:shd w:val="clear" w:color="auto" w:fill="FFFFFF"/>
          </w:tcPr>
          <w:p>
            <w:pPr>
              <w:jc w:val="center"/>
            </w:pPr>
            <w:r>
              <w:rPr>
                <w:rFonts w:ascii="Calibri" w:hAnsi="Calibri"/>
                <w:sz w:val="18"/>
              </w:rPr>
              <w:t>return_pct_vs_prev_close</w:t>
            </w:r>
          </w:p>
        </w:tc>
        <w:tc>
          <w:tcPr>
            <w:tcW w:type="dxa" w:w="6048"/>
            <w:shd w:val="clear" w:color="auto" w:fill="FFFFFF"/>
          </w:tcPr>
          <w:p>
            <w:pPr>
              <w:jc w:val="center"/>
            </w:pPr>
            <w:r>
              <w:rPr>
                <w:rFonts w:ascii="Calibri" w:hAnsi="Calibri"/>
                <w:sz w:val="18"/>
              </w:rPr>
              <w:t>% gain of 3:00 PM open vs previous day's VWAP. Must be ≥ 5%</w:t>
            </w:r>
          </w:p>
        </w:tc>
      </w:tr>
      <w:tr>
        <w:tc>
          <w:tcPr>
            <w:tcW w:type="dxa" w:w="2880"/>
            <w:shd w:val="clear" w:color="auto" w:fill="EAF2FF"/>
          </w:tcPr>
          <w:p>
            <w:pPr>
              <w:jc w:val="center"/>
            </w:pPr>
            <w:r>
              <w:rPr>
                <w:rFonts w:ascii="Calibri" w:hAnsi="Calibri"/>
                <w:sz w:val="18"/>
              </w:rPr>
              <w:t>fade_at_entry_pct</w:t>
            </w:r>
          </w:p>
        </w:tc>
        <w:tc>
          <w:tcPr>
            <w:tcW w:type="dxa" w:w="6048"/>
            <w:shd w:val="clear" w:color="auto" w:fill="EAF2FF"/>
          </w:tcPr>
          <w:p>
            <w:pPr>
              <w:jc w:val="center"/>
            </w:pPr>
            <w:r>
              <w:rPr>
                <w:rFonts w:ascii="Calibri" w:hAnsi="Calibri"/>
                <w:sz w:val="18"/>
              </w:rPr>
              <w:t>How far the stock has pulled back from its intraday high by 3:15 PM. Must be ≤ 5%</w:t>
            </w:r>
          </w:p>
        </w:tc>
      </w:tr>
    </w:tbl>
    <w:p/>
    <w:p>
      <w:pPr>
        <w:spacing w:before="20" w:after="60"/>
      </w:pPr>
      <w:r>
        <w:rPr>
          <w:rFonts w:ascii="Calibri" w:hAnsi="Calibri"/>
          <w:b w:val="0"/>
          <w:i w:val="0"/>
          <w:color w:val="000000"/>
          <w:sz w:val="20"/>
        </w:rPr>
        <w:t>Today (July 14, 2026) four stocks passed all four criteria. Those are the names you buy at 3:15 PM and exit the next morning.</w:t>
      </w:r>
    </w:p>
    <w:p/>
    <w:p>
      <w:pPr>
        <w:spacing w:before="320" w:after="80"/>
        <w:ind w:left="0"/>
        <w:pBdr>
          <w:bottom w:val="single" w:sz="6" w:space="1" w:color="2E74B5"/>
        </w:pBdr>
      </w:pPr>
      <w:r>
        <w:rPr>
          <w:rFonts w:ascii="Calibri" w:hAnsi="Calibri"/>
          <w:b/>
          <w:color w:val="1F497D"/>
          <w:sz w:val="32"/>
        </w:rPr>
        <w:t>2. Where Does the Data Come From?</w:t>
      </w:r>
    </w:p>
    <w:p>
      <w:pPr>
        <w:spacing w:before="20" w:after="60"/>
      </w:pPr>
      <w:r>
        <w:rPr>
          <w:rFonts w:ascii="Calibri" w:hAnsi="Calibri"/>
          <w:b w:val="0"/>
          <w:i w:val="0"/>
          <w:color w:val="000000"/>
          <w:sz w:val="20"/>
        </w:rPr>
        <w:t>Three scripts run each trading day in sequence. Understanding them helps you know exactly what raw input feeds every number in the trade list.</w:t>
      </w:r>
    </w:p>
    <w:p>
      <w:pPr>
        <w:spacing w:before="200" w:after="40"/>
      </w:pPr>
      <w:r>
        <w:rPr>
          <w:rFonts w:ascii="Calibri" w:hAnsi="Calibri"/>
          <w:b/>
          <w:color w:val="2E74B5"/>
          <w:sz w:val="26"/>
        </w:rPr>
        <w:t>Step 1 — data_loading.py  (run at 3:00 PM)</w:t>
      </w:r>
    </w:p>
    <w:p>
      <w:pPr>
        <w:spacing w:before="20" w:after="60"/>
      </w:pPr>
      <w:r>
        <w:rPr>
          <w:rFonts w:ascii="Calibri" w:hAnsi="Calibri"/>
          <w:b w:val="0"/>
          <w:i w:val="0"/>
          <w:color w:val="000000"/>
          <w:sz w:val="20"/>
        </w:rPr>
        <w:t>This script connects to the Upstox API and downloads today's 15-minute intraday candlestick data for approximately 1,610 NSE stocks simultaneously. It runs 12 parallel workers and finishes in 4–6 minutes.</w:t>
      </w:r>
    </w:p>
    <w:p>
      <w:pPr>
        <w:spacing w:before="20" w:after="60"/>
      </w:pPr>
      <w:r>
        <w:rPr>
          <w:rFonts w:ascii="Calibri" w:hAnsi="Calibri"/>
          <w:b/>
          <w:i w:val="0"/>
          <w:color w:val="000000"/>
          <w:sz w:val="20"/>
        </w:rPr>
        <w:t>What a 15-minute candle contains:</w:t>
      </w:r>
    </w:p>
    <w:p>
      <w:pPr>
        <w:pStyle w:val="ListBullet"/>
        <w:spacing w:before="20" w:after="40"/>
        <w:ind w:left="454"/>
      </w:pPr>
      <w:r>
        <w:rPr>
          <w:rFonts w:ascii="Calibri" w:hAnsi="Calibri"/>
          <w:sz w:val="20"/>
        </w:rPr>
        <w:t>timestamp  — the start time of that 15-min window (e.g. 09:15, 09:30 …)</w:t>
      </w:r>
    </w:p>
    <w:p>
      <w:pPr>
        <w:pStyle w:val="ListBullet"/>
        <w:spacing w:before="20" w:after="40"/>
        <w:ind w:left="454"/>
      </w:pPr>
      <w:r>
        <w:rPr>
          <w:rFonts w:ascii="Calibri" w:hAnsi="Calibri"/>
          <w:sz w:val="20"/>
        </w:rPr>
        <w:t>open  — price at which trading opened in that 15-min window</w:t>
      </w:r>
    </w:p>
    <w:p>
      <w:pPr>
        <w:pStyle w:val="ListBullet"/>
        <w:spacing w:before="20" w:after="40"/>
        <w:ind w:left="454"/>
      </w:pPr>
      <w:r>
        <w:rPr>
          <w:rFonts w:ascii="Calibri" w:hAnsi="Calibri"/>
          <w:sz w:val="20"/>
        </w:rPr>
        <w:t>high  — highest price traded in that 15-min window</w:t>
      </w:r>
    </w:p>
    <w:p>
      <w:pPr>
        <w:pStyle w:val="ListBullet"/>
        <w:spacing w:before="20" w:after="40"/>
        <w:ind w:left="454"/>
      </w:pPr>
      <w:r>
        <w:rPr>
          <w:rFonts w:ascii="Calibri" w:hAnsi="Calibri"/>
          <w:sz w:val="20"/>
        </w:rPr>
        <w:t>low   — lowest price traded in that 15-min window</w:t>
      </w:r>
    </w:p>
    <w:p>
      <w:pPr>
        <w:pStyle w:val="ListBullet"/>
        <w:spacing w:before="20" w:after="40"/>
        <w:ind w:left="454"/>
      </w:pPr>
      <w:r>
        <w:rPr>
          <w:rFonts w:ascii="Calibri" w:hAnsi="Calibri"/>
          <w:sz w:val="20"/>
        </w:rPr>
        <w:t>close — price at which trading closed in that 15-min window</w:t>
      </w:r>
    </w:p>
    <w:p>
      <w:pPr>
        <w:pStyle w:val="ListBullet"/>
        <w:spacing w:before="20" w:after="40"/>
        <w:ind w:left="454"/>
      </w:pPr>
      <w:r>
        <w:rPr>
          <w:rFonts w:ascii="Calibri" w:hAnsi="Calibri"/>
          <w:sz w:val="20"/>
        </w:rPr>
        <w:t>volume — total shares traded in that 15-min window</w:t>
      </w:r>
    </w:p>
    <w:p>
      <w:pPr>
        <w:spacing w:before="20" w:after="60"/>
      </w:pPr>
      <w:r>
        <w:rPr>
          <w:rFonts w:ascii="Calibri" w:hAnsi="Calibri"/>
          <w:b w:val="0"/>
          <w:i w:val="0"/>
          <w:color w:val="000000"/>
          <w:sz w:val="20"/>
        </w:rPr>
        <w:t>The candles downloaded today are merged with all historical candles stored in master_data/&lt;SYMBOL&gt;.parquet — the permanent record going back to 2022.</w:t>
      </w:r>
    </w:p>
    <w:p/>
    <w:p>
      <w:pPr>
        <w:spacing w:before="200" w:after="40"/>
      </w:pPr>
      <w:r>
        <w:rPr>
          <w:rFonts w:ascii="Calibri" w:hAnsi="Calibri"/>
          <w:b/>
          <w:color w:val="2E74B5"/>
          <w:sz w:val="26"/>
        </w:rPr>
        <w:t>Step 2 — prepare_data.py  (run after data_loading.py)</w:t>
      </w:r>
    </w:p>
    <w:p>
      <w:pPr>
        <w:spacing w:before="20" w:after="60"/>
      </w:pPr>
      <w:r>
        <w:rPr>
          <w:rFonts w:ascii="Calibri" w:hAnsi="Calibri"/>
          <w:b w:val="0"/>
          <w:i w:val="0"/>
          <w:color w:val="000000"/>
          <w:sz w:val="20"/>
        </w:rPr>
        <w:t>This script reads every stock's full candle history from master_data/ and calculates all four signal conditions for every single trading day in the dataset. It outputs two files:</w:t>
      </w:r>
    </w:p>
    <w:p>
      <w:pPr>
        <w:pStyle w:val="ListBullet"/>
        <w:spacing w:before="20" w:after="40"/>
        <w:ind w:left="454"/>
      </w:pPr>
      <w:r>
        <w:rPr>
          <w:rFonts w:ascii="Calibri" w:hAnsi="Calibri"/>
          <w:sz w:val="20"/>
        </w:rPr>
        <w:t>results/diagnostic_table.csv — every stock, every day, with all conditions visible</w:t>
      </w:r>
    </w:p>
    <w:p>
      <w:pPr>
        <w:pStyle w:val="ListBullet"/>
        <w:spacing w:before="20" w:after="40"/>
        <w:ind w:left="454"/>
      </w:pPr>
      <w:r>
        <w:rPr>
          <w:rFonts w:ascii="Calibri" w:hAnsi="Calibri"/>
          <w:sz w:val="20"/>
        </w:rPr>
        <w:t>results/trade_list_YYYY-MM-DD.csv — only TODAY's stocks that passed all 4 conditions</w:t>
      </w:r>
    </w:p>
    <w:p/>
    <w:p>
      <w:pPr>
        <w:spacing w:before="200" w:after="40"/>
      </w:pPr>
      <w:r>
        <w:rPr>
          <w:rFonts w:ascii="Calibri" w:hAnsi="Calibri"/>
          <w:b/>
          <w:color w:val="2E74B5"/>
          <w:sz w:val="26"/>
        </w:rPr>
        <w:t>Step 3 — Market Cap snapshots (mcap_cache/)</w:t>
      </w:r>
    </w:p>
    <w:p>
      <w:pPr>
        <w:spacing w:before="20" w:after="60"/>
      </w:pPr>
      <w:r>
        <w:rPr>
          <w:rFonts w:ascii="Calibri" w:hAnsi="Calibri"/>
          <w:b w:val="0"/>
          <w:i w:val="0"/>
          <w:color w:val="000000"/>
          <w:sz w:val="20"/>
        </w:rPr>
        <w:t>NSE publishes semi-annual average market cap lists. Seven snapshots are loaded (March 2022 through December 2025). For any given date, the script uses the most recent snapshot that predates that date. This ensures the market cap used was publicly known on the signal day — no forward-looking data.</w:t>
      </w:r>
    </w:p>
    <w:p/>
    <w:p>
      <w:pPr>
        <w:spacing w:before="320" w:after="80"/>
        <w:ind w:left="0"/>
        <w:pBdr>
          <w:bottom w:val="single" w:sz="6" w:space="1" w:color="2E74B5"/>
        </w:pBdr>
      </w:pPr>
      <w:r>
        <w:rPr>
          <w:rFonts w:ascii="Calibri" w:hAnsi="Calibri"/>
          <w:b/>
          <w:color w:val="1F497D"/>
          <w:sz w:val="32"/>
        </w:rPr>
        <w:t>3. The Four Screening Criteria</w:t>
      </w:r>
    </w:p>
    <w:p>
      <w:pPr>
        <w:spacing w:before="20" w:after="60"/>
      </w:pPr>
      <w:r>
        <w:rPr>
          <w:rFonts w:ascii="Calibri" w:hAnsi="Calibri"/>
          <w:b w:val="0"/>
          <w:i w:val="0"/>
          <w:color w:val="000000"/>
          <w:sz w:val="20"/>
        </w:rPr>
        <w:t>A stock fires a buy signal only when ALL four conditions are true simultaneously on the same day. Failing even one criterion means no signal.</w:t>
      </w:r>
    </w:p>
    <w:p/>
    <w:p>
      <w:pPr>
        <w:spacing w:before="200" w:after="40"/>
      </w:pPr>
      <w:r>
        <w:rPr>
          <w:rFonts w:ascii="Calibri" w:hAnsi="Calibri"/>
          <w:b/>
          <w:color w:val="2E74B5"/>
          <w:sz w:val="26"/>
        </w:rPr>
        <w:t>Criterion 1 — Market Cap Filter</w:t>
      </w:r>
    </w:p>
    <w:p>
      <w:pPr>
        <w:spacing w:before="20" w:after="60"/>
      </w:pPr>
      <w:r>
        <w:rPr>
          <w:rFonts w:ascii="Calibri" w:hAnsi="Calibri"/>
          <w:b/>
          <w:i w:val="0"/>
          <w:color w:val="000000"/>
          <w:sz w:val="20"/>
        </w:rPr>
        <w:t>Rule:</w:t>
      </w:r>
    </w:p>
    <w:p>
      <w:pPr>
        <w:spacing w:before="60" w:after="60"/>
        <w:ind w:left="850"/>
      </w:pPr>
      <w:r>
        <w:rPr>
          <w:rFonts w:ascii="Courier New" w:hAnsi="Courier New"/>
          <w:color w:val="193A64"/>
          <w:sz w:val="19"/>
        </w:rPr>
        <w:t>₹1,500 Cr  ≤  market_cap_value  ≤  ₹5,000 Cr</w:t>
      </w:r>
    </w:p>
    <w:p>
      <w:pPr>
        <w:spacing w:before="20" w:after="60"/>
      </w:pPr>
      <w:r>
        <w:rPr>
          <w:rFonts w:ascii="Calibri" w:hAnsi="Calibri"/>
          <w:b w:val="0"/>
          <w:i w:val="0"/>
          <w:color w:val="000000"/>
          <w:sz w:val="20"/>
        </w:rPr>
        <w:t>What data is needed:</w:t>
      </w:r>
    </w:p>
    <w:p>
      <w:pPr>
        <w:pStyle w:val="ListBullet"/>
        <w:spacing w:before="20" w:after="40"/>
        <w:ind w:left="454"/>
      </w:pPr>
      <w:r>
        <w:rPr>
          <w:rFonts w:ascii="Calibri" w:hAnsi="Calibri"/>
          <w:sz w:val="20"/>
        </w:rPr>
        <w:t>NSE semi-annual Average Market Cap Excel files (stored in mcap_cache/)</w:t>
      </w:r>
    </w:p>
    <w:p>
      <w:pPr>
        <w:pStyle w:val="ListBullet"/>
        <w:spacing w:before="20" w:after="40"/>
        <w:ind w:left="454"/>
      </w:pPr>
      <w:r>
        <w:rPr>
          <w:rFonts w:ascii="Calibri" w:hAnsi="Calibri"/>
          <w:sz w:val="20"/>
        </w:rPr>
        <w:t>The date of the signal — to pick the correct preceding snapshot</w:t>
      </w:r>
    </w:p>
    <w:p>
      <w:pPr>
        <w:spacing w:before="20" w:after="60"/>
      </w:pPr>
      <w:r>
        <w:rPr>
          <w:rFonts w:ascii="Calibri" w:hAnsi="Calibri"/>
          <w:b/>
          <w:i w:val="0"/>
          <w:color w:val="000000"/>
          <w:sz w:val="20"/>
        </w:rPr>
        <w:t>How it works:</w:t>
      </w:r>
    </w:p>
    <w:p>
      <w:pPr>
        <w:spacing w:before="20" w:after="60"/>
        <w:ind w:left="283"/>
      </w:pPr>
      <w:r>
        <w:rPr>
          <w:rFonts w:ascii="Calibri" w:hAnsi="Calibri"/>
          <w:b w:val="0"/>
          <w:i w:val="0"/>
          <w:color w:val="000000"/>
          <w:sz w:val="20"/>
        </w:rPr>
        <w:t>The script maintains 7 market cap snapshots from NSE. For each (symbol, date) pair, it finds the most recent snapshot whose date is before or equal to the signal date, then looks up that stock's average market cap in crores.</w:t>
      </w:r>
    </w:p>
    <w:p>
      <w:pPr>
        <w:spacing w:before="20" w:after="60"/>
      </w:pPr>
      <w:r>
        <w:rPr>
          <w:rFonts w:ascii="Calibri" w:hAnsi="Calibri"/>
          <w:b/>
          <w:i w:val="0"/>
          <w:color w:val="000000"/>
          <w:sz w:val="20"/>
        </w:rPr>
        <w:t>Why this range:</w:t>
      </w:r>
    </w:p>
    <w:p>
      <w:pPr>
        <w:spacing w:before="20" w:after="60"/>
        <w:ind w:left="283"/>
      </w:pPr>
      <w:r>
        <w:rPr>
          <w:rFonts w:ascii="Calibri" w:hAnsi="Calibri"/>
          <w:b w:val="0"/>
          <w:i w:val="0"/>
          <w:color w:val="000000"/>
          <w:sz w:val="20"/>
        </w:rPr>
        <w:t>Stocks below ₹1,500 Cr are micro-caps — thin liquidity, wide spreads, and high manipulation risk. Stocks above ₹5,000 Cr are large-caps where a 6× volume spike is extremely rare and typically driven by index rebalancing rather than retail momentum. The ₹1,500–5,000 Cr 'mid-cap' band is where volume spikes are more likely to produce sustained intraday momentum.</w:t>
      </w:r>
    </w:p>
    <w:p/>
    <w:p>
      <w:pPr>
        <w:spacing w:before="200" w:after="40"/>
      </w:pPr>
      <w:r>
        <w:rPr>
          <w:rFonts w:ascii="Calibri" w:hAnsi="Calibri"/>
          <w:b/>
          <w:color w:val="2E74B5"/>
          <w:sz w:val="26"/>
        </w:rPr>
        <w:t>Criterion 2 — Volume Spike</w:t>
      </w:r>
    </w:p>
    <w:p>
      <w:pPr>
        <w:spacing w:before="20" w:after="60"/>
      </w:pPr>
      <w:r>
        <w:rPr>
          <w:rFonts w:ascii="Calibri" w:hAnsi="Calibri"/>
          <w:b/>
          <w:i w:val="0"/>
          <w:color w:val="000000"/>
          <w:sz w:val="20"/>
        </w:rPr>
        <w:t>Rule:</w:t>
      </w:r>
    </w:p>
    <w:p>
      <w:pPr>
        <w:spacing w:before="60" w:after="60"/>
        <w:ind w:left="850"/>
      </w:pPr>
      <w:r>
        <w:rPr>
          <w:rFonts w:ascii="Courier New" w:hAnsi="Courier New"/>
          <w:color w:val="193A64"/>
          <w:sz w:val="19"/>
        </w:rPr>
        <w:t>volume_ratio  =  cum_vol_0915_to_1445  ÷  avg_36day_fullday_volume  ≥  6×</w:t>
      </w:r>
    </w:p>
    <w:p>
      <w:pPr>
        <w:spacing w:before="20" w:after="60"/>
      </w:pPr>
      <w:r>
        <w:rPr>
          <w:rFonts w:ascii="Calibri" w:hAnsi="Calibri"/>
          <w:b w:val="0"/>
          <w:i w:val="0"/>
          <w:color w:val="000000"/>
          <w:sz w:val="20"/>
        </w:rPr>
        <w:t>What data is needed:</w:t>
      </w:r>
    </w:p>
    <w:p>
      <w:pPr>
        <w:pStyle w:val="ListBullet"/>
        <w:spacing w:before="20" w:after="40"/>
        <w:ind w:left="454"/>
      </w:pPr>
      <w:r>
        <w:rPr>
          <w:rFonts w:ascii="Calibri" w:hAnsi="Calibri"/>
          <w:sz w:val="20"/>
        </w:rPr>
        <w:t>Today's 15-min candles from 09:15 through 14:45 (inclusive)</w:t>
      </w:r>
    </w:p>
    <w:p>
      <w:pPr>
        <w:pStyle w:val="ListBullet"/>
        <w:spacing w:before="20" w:after="40"/>
        <w:ind w:left="454"/>
      </w:pPr>
      <w:r>
        <w:rPr>
          <w:rFonts w:ascii="Calibri" w:hAnsi="Calibri"/>
          <w:sz w:val="20"/>
        </w:rPr>
        <w:t>Full-day (09:15–15:15) volume for the preceding 36 non-zero trading days</w:t>
      </w:r>
    </w:p>
    <w:p>
      <w:pPr>
        <w:spacing w:before="20" w:after="60"/>
      </w:pPr>
      <w:r>
        <w:rPr>
          <w:rFonts w:ascii="Calibri" w:hAnsi="Calibri"/>
          <w:b/>
          <w:i w:val="0"/>
          <w:color w:val="000000"/>
          <w:sz w:val="20"/>
        </w:rPr>
        <w:t>Step-by-step breakdown:</w:t>
      </w:r>
    </w:p>
    <w:p>
      <w:pPr>
        <w:spacing w:before="160" w:after="40"/>
      </w:pPr>
      <w:r>
        <w:rPr>
          <w:rFonts w:ascii="Calibri" w:hAnsi="Calibri"/>
          <w:b/>
          <w:color w:val="C55A11"/>
          <w:sz w:val="22"/>
        </w:rPr>
        <w:t>A. Cumulative volume to 2:45 PM (cum_vol)</w:t>
      </w:r>
    </w:p>
    <w:p>
      <w:pPr>
        <w:spacing w:before="20" w:after="60"/>
        <w:ind w:left="283"/>
      </w:pPr>
      <w:r>
        <w:rPr>
          <w:rFonts w:ascii="Calibri" w:hAnsi="Calibri"/>
          <w:b w:val="0"/>
          <w:i w:val="0"/>
          <w:color w:val="000000"/>
          <w:sz w:val="20"/>
        </w:rPr>
        <w:t>Add up the volume column across all candles from 09:15 to 14:45 on today's date. The 15:00 candle is excluded deliberately — it has not closed yet when we check the signal.</w:t>
      </w:r>
    </w:p>
    <w:p>
      <w:pPr>
        <w:spacing w:before="60" w:after="60"/>
        <w:ind w:left="850"/>
      </w:pPr>
      <w:r>
        <w:rPr>
          <w:rFonts w:ascii="Courier New" w:hAnsi="Courier New"/>
          <w:color w:val="193A64"/>
          <w:sz w:val="19"/>
        </w:rPr>
        <w:t>cum_vol = vol(09:15) + vol(09:30) + vol(09:45) + … + vol(14:30) + vol(14:45)</w:t>
      </w:r>
    </w:p>
    <w:p>
      <w:pPr>
        <w:spacing w:before="160" w:after="40"/>
      </w:pPr>
      <w:r>
        <w:rPr>
          <w:rFonts w:ascii="Calibri" w:hAnsi="Calibri"/>
          <w:b/>
          <w:color w:val="C55A11"/>
          <w:sz w:val="22"/>
        </w:rPr>
        <w:t>B. 36-day rolling average full-day volume (avg_vol)</w:t>
      </w:r>
    </w:p>
    <w:p>
      <w:pPr>
        <w:spacing w:before="20" w:after="60"/>
        <w:ind w:left="283"/>
      </w:pPr>
      <w:r>
        <w:rPr>
          <w:rFonts w:ascii="Calibri" w:hAnsi="Calibri"/>
          <w:b w:val="0"/>
          <w:i w:val="0"/>
          <w:color w:val="000000"/>
          <w:sz w:val="20"/>
        </w:rPr>
        <w:t>For each past trading day, sum the volume of ALL candles from 09:15 to 15:15 (the full day). Then compute a simple rolling average over the previous 36 non-holiday trading days. Only days with non-zero total volume count — market holidays and half-days with zero volume are excluded from the 36-day window.</w:t>
      </w:r>
    </w:p>
    <w:p>
      <w:pPr>
        <w:spacing w:before="60" w:after="60"/>
        <w:ind w:left="850"/>
      </w:pPr>
      <w:r>
        <w:rPr>
          <w:rFonts w:ascii="Courier New" w:hAnsi="Courier New"/>
          <w:color w:val="193A64"/>
          <w:sz w:val="19"/>
        </w:rPr>
        <w:t>avg_vol(today) = mean of full-day volumes over the 36 PRECEDING trading days</w:t>
      </w:r>
    </w:p>
    <w:p>
      <w:pPr>
        <w:spacing w:before="80" w:after="80"/>
        <w:ind w:left="283" w:right="283"/>
        <w:shd w:val="clear" w:color="auto" w:fill="FFF2CC"/>
      </w:pPr>
      <w:r>
        <w:rPr>
          <w:rFonts w:ascii="Calibri" w:hAnsi="Calibri"/>
          <w:color w:val="4A3B00"/>
          <w:sz w:val="18"/>
        </w:rPr>
        <w:t xml:space="preserve">  NOTE:  The average is shifted by one day so today's own volume never enters its own average. This prevents look-ahead bias.  </w:t>
      </w:r>
    </w:p>
    <w:p>
      <w:pPr>
        <w:spacing w:before="160" w:after="40"/>
      </w:pPr>
      <w:r>
        <w:rPr>
          <w:rFonts w:ascii="Calibri" w:hAnsi="Calibri"/>
          <w:b/>
          <w:color w:val="C55A11"/>
          <w:sz w:val="22"/>
        </w:rPr>
        <w:t>C. Volume ratio</w:t>
      </w:r>
    </w:p>
    <w:p>
      <w:pPr>
        <w:spacing w:before="60" w:after="60"/>
        <w:ind w:left="850"/>
      </w:pPr>
      <w:r>
        <w:rPr>
          <w:rFonts w:ascii="Courier New" w:hAnsi="Courier New"/>
          <w:color w:val="193A64"/>
          <w:sz w:val="19"/>
        </w:rPr>
        <w:t>volume_ratio = cum_vol ÷ avg_vol</w:t>
      </w:r>
    </w:p>
    <w:p>
      <w:pPr>
        <w:spacing w:before="20" w:after="60"/>
        <w:ind w:left="283"/>
      </w:pPr>
      <w:r>
        <w:rPr>
          <w:rFonts w:ascii="Calibri" w:hAnsi="Calibri"/>
          <w:b w:val="0"/>
          <w:i w:val="0"/>
          <w:color w:val="000000"/>
          <w:sz w:val="20"/>
        </w:rPr>
        <w:t>Intuitively: if the 36-day average full-day volume is 500,000 shares, then a volume_ratio of 6 means 3,000,000 shares already traded by 2:45 PM today — 6× a normal full day, with 30 minutes still to go. This is a very strong signal of unusual institutional or retail interest.</w:t>
      </w:r>
    </w:p>
    <w:p/>
    <w:p>
      <w:pPr>
        <w:spacing w:before="200" w:after="40"/>
      </w:pPr>
      <w:r>
        <w:rPr>
          <w:rFonts w:ascii="Calibri" w:hAnsi="Calibri"/>
          <w:b/>
          <w:color w:val="2E74B5"/>
          <w:sz w:val="26"/>
        </w:rPr>
        <w:t>Criterion 3 — Price Return vs Previous Day VWAP</w:t>
      </w:r>
    </w:p>
    <w:p>
      <w:pPr>
        <w:spacing w:before="20" w:after="60"/>
      </w:pPr>
      <w:r>
        <w:rPr>
          <w:rFonts w:ascii="Calibri" w:hAnsi="Calibri"/>
          <w:b/>
          <w:i w:val="0"/>
          <w:color w:val="000000"/>
          <w:sz w:val="20"/>
        </w:rPr>
        <w:t>Rule:</w:t>
      </w:r>
    </w:p>
    <w:p>
      <w:pPr>
        <w:spacing w:before="60" w:after="60"/>
        <w:ind w:left="850"/>
      </w:pPr>
      <w:r>
        <w:rPr>
          <w:rFonts w:ascii="Courier New" w:hAnsi="Courier New"/>
          <w:color w:val="193A64"/>
          <w:sz w:val="19"/>
        </w:rPr>
        <w:t>return_pct  =  (pm3_open − prev_day_vwap_close)  ÷  prev_day_vwap_close  × 100  ≥  5%</w:t>
      </w:r>
    </w:p>
    <w:p>
      <w:pPr>
        <w:spacing w:before="20" w:after="60"/>
      </w:pPr>
      <w:r>
        <w:rPr>
          <w:rFonts w:ascii="Calibri" w:hAnsi="Calibri"/>
          <w:b w:val="0"/>
          <w:i w:val="0"/>
          <w:color w:val="000000"/>
          <w:sz w:val="20"/>
        </w:rPr>
        <w:t>What data is needed:</w:t>
      </w:r>
    </w:p>
    <w:p>
      <w:pPr>
        <w:pStyle w:val="ListBullet"/>
        <w:spacing w:before="20" w:after="40"/>
        <w:ind w:left="454"/>
      </w:pPr>
      <w:r>
        <w:rPr>
          <w:rFonts w:ascii="Calibri" w:hAnsi="Calibri"/>
          <w:sz w:val="20"/>
        </w:rPr>
        <w:t>Today's 3:00 PM candle open price (pm3_open = OPEN of the 15:00 candle)</w:t>
      </w:r>
    </w:p>
    <w:p>
      <w:pPr>
        <w:pStyle w:val="ListBullet"/>
        <w:spacing w:before="20" w:after="40"/>
        <w:ind w:left="454"/>
      </w:pPr>
      <w:r>
        <w:rPr>
          <w:rFonts w:ascii="Calibri" w:hAnsi="Calibri"/>
          <w:sz w:val="20"/>
        </w:rPr>
        <w:t>Yesterday's 3:00 PM and 3:15 PM candles (high, low, close, volume)</w:t>
      </w:r>
    </w:p>
    <w:p>
      <w:pPr>
        <w:spacing w:before="20" w:after="60"/>
      </w:pPr>
      <w:r>
        <w:rPr>
          <w:rFonts w:ascii="Calibri" w:hAnsi="Calibri"/>
          <w:b/>
          <w:i w:val="0"/>
          <w:color w:val="000000"/>
          <w:sz w:val="20"/>
        </w:rPr>
        <w:t>Step-by-step breakdown:</w:t>
      </w:r>
    </w:p>
    <w:p>
      <w:pPr>
        <w:spacing w:before="160" w:after="40"/>
      </w:pPr>
      <w:r>
        <w:rPr>
          <w:rFonts w:ascii="Calibri" w:hAnsi="Calibri"/>
          <w:b/>
          <w:color w:val="C55A11"/>
          <w:sz w:val="22"/>
        </w:rPr>
        <w:t>A. Previous day VWAP (Volume-Weighted Average Price)</w:t>
      </w:r>
    </w:p>
    <w:p>
      <w:pPr>
        <w:spacing w:before="20" w:after="60"/>
        <w:ind w:left="283"/>
      </w:pPr>
      <w:r>
        <w:rPr>
          <w:rFonts w:ascii="Calibri" w:hAnsi="Calibri"/>
          <w:b w:val="0"/>
          <w:i w:val="0"/>
          <w:color w:val="000000"/>
          <w:sz w:val="20"/>
        </w:rPr>
        <w:t>The VWAP of the previous trading day uses only the last two candles of that day: the 15:00 candle and the 15:15 candle. These represent the closing auction period — the prices at which institutional participants are most likely settling positions.</w:t>
      </w:r>
    </w:p>
    <w:p>
      <w:pPr>
        <w:spacing w:before="60" w:after="60"/>
        <w:ind w:left="850"/>
      </w:pPr>
      <w:r>
        <w:rPr>
          <w:rFonts w:ascii="Courier New" w:hAnsi="Courier New"/>
          <w:color w:val="193A64"/>
          <w:sz w:val="19"/>
        </w:rPr>
        <w:t>TP  =  (High + Low + Close) ÷ 3     ← Typical Price for each candle</w:t>
      </w:r>
    </w:p>
    <w:p>
      <w:pPr>
        <w:spacing w:before="60" w:after="60"/>
        <w:ind w:left="850"/>
      </w:pPr>
      <w:r>
        <w:rPr>
          <w:rFonts w:ascii="Courier New" w:hAnsi="Courier New"/>
          <w:color w:val="193A64"/>
          <w:sz w:val="19"/>
        </w:rPr>
        <w:t>prev_vwap  =  (TP_1500 × Vol_1500  +  TP_1515 × Vol_1515)</w:t>
      </w:r>
    </w:p>
    <w:p>
      <w:pPr>
        <w:spacing w:before="60" w:after="60"/>
        <w:ind w:left="850"/>
      </w:pPr>
      <w:r>
        <w:rPr>
          <w:rFonts w:ascii="Courier New" w:hAnsi="Courier New"/>
          <w:color w:val="193A64"/>
          <w:sz w:val="19"/>
        </w:rPr>
        <w:t xml:space="preserve">             ÷ (Vol_1500 + Vol_1515)</w:t>
      </w:r>
    </w:p>
    <w:p>
      <w:pPr>
        <w:spacing w:before="160" w:after="40"/>
      </w:pPr>
      <w:r>
        <w:rPr>
          <w:rFonts w:ascii="Calibri" w:hAnsi="Calibri"/>
          <w:b/>
          <w:color w:val="C55A11"/>
          <w:sz w:val="22"/>
        </w:rPr>
        <w:t>B. Today's reference price: 3:00 PM open</w:t>
      </w:r>
    </w:p>
    <w:p>
      <w:pPr>
        <w:spacing w:before="20" w:after="60"/>
        <w:ind w:left="283"/>
      </w:pPr>
      <w:r>
        <w:rPr>
          <w:rFonts w:ascii="Calibri" w:hAnsi="Calibri"/>
          <w:b w:val="0"/>
          <w:i w:val="0"/>
          <w:color w:val="000000"/>
          <w:sz w:val="20"/>
        </w:rPr>
        <w:t>The return is compared against the OPEN of the 15:00 candle — NOT the 15:15 candle open (which is the entry price). The 3pm open is the 'first look' at where the stock is heading into the final 15-minute candle. Using it as the reference price is the historical convention for this strategy and is unchanged across all versions.</w:t>
      </w:r>
    </w:p>
    <w:p>
      <w:pPr>
        <w:spacing w:before="80" w:after="80"/>
        <w:ind w:left="283" w:right="283"/>
        <w:shd w:val="clear" w:color="auto" w:fill="FFF2CC"/>
      </w:pPr>
      <w:r>
        <w:rPr>
          <w:rFonts w:ascii="Calibri" w:hAnsi="Calibri"/>
          <w:color w:val="4A3B00"/>
          <w:sz w:val="18"/>
        </w:rPr>
        <w:t xml:space="preserve">  NOTE:  IMPORTANT: The return condition uses OPEN of the 15:00 candle. The actual buy (entry) price uses OPEN of the 15:15 candle. These are two different prices and two different candles.  </w:t>
      </w:r>
    </w:p>
    <w:p>
      <w:pPr>
        <w:spacing w:before="160" w:after="40"/>
      </w:pPr>
      <w:r>
        <w:rPr>
          <w:rFonts w:ascii="Calibri" w:hAnsi="Calibri"/>
          <w:b/>
          <w:color w:val="C55A11"/>
          <w:sz w:val="22"/>
        </w:rPr>
        <w:t>C. Return calculation</w:t>
      </w:r>
    </w:p>
    <w:p>
      <w:pPr>
        <w:spacing w:before="60" w:after="60"/>
        <w:ind w:left="850"/>
      </w:pPr>
      <w:r>
        <w:rPr>
          <w:rFonts w:ascii="Courier New" w:hAnsi="Courier New"/>
          <w:color w:val="193A64"/>
          <w:sz w:val="19"/>
        </w:rPr>
        <w:t>return_pct = (open_of_15:00_candle − prev_day_vwap_close) ÷ prev_day_vwap_close × 100</w:t>
      </w:r>
    </w:p>
    <w:p>
      <w:pPr>
        <w:spacing w:before="20" w:after="60"/>
        <w:ind w:left="283"/>
      </w:pPr>
      <w:r>
        <w:rPr>
          <w:rFonts w:ascii="Calibri" w:hAnsi="Calibri"/>
          <w:b w:val="0"/>
          <w:i w:val="0"/>
          <w:color w:val="000000"/>
          <w:sz w:val="20"/>
        </w:rPr>
        <w:t>A return of ≥5% means the stock has gapped up sharply compared to where institutional money was last pricing it. This is the 'momentum' signal — the stock is breaking out, not just drifting upward.</w:t>
      </w:r>
    </w:p>
    <w:p/>
    <w:p>
      <w:pPr>
        <w:spacing w:before="200" w:after="40"/>
      </w:pPr>
      <w:r>
        <w:rPr>
          <w:rFonts w:ascii="Calibri" w:hAnsi="Calibri"/>
          <w:b/>
          <w:color w:val="2E74B5"/>
          <w:sz w:val="26"/>
        </w:rPr>
        <w:t>Criterion 4 — Fade at Entry (Quality Filter)</w:t>
      </w:r>
    </w:p>
    <w:p>
      <w:pPr>
        <w:spacing w:before="20" w:after="60"/>
      </w:pPr>
      <w:r>
        <w:rPr>
          <w:rFonts w:ascii="Calibri" w:hAnsi="Calibri"/>
          <w:b/>
          <w:i w:val="0"/>
          <w:color w:val="000000"/>
          <w:sz w:val="20"/>
        </w:rPr>
        <w:t>Rule:</w:t>
      </w:r>
    </w:p>
    <w:p>
      <w:pPr>
        <w:spacing w:before="60" w:after="60"/>
        <w:ind w:left="850"/>
      </w:pPr>
      <w:r>
        <w:rPr>
          <w:rFonts w:ascii="Courier New" w:hAnsi="Courier New"/>
          <w:color w:val="193A64"/>
          <w:sz w:val="19"/>
        </w:rPr>
        <w:t>fade_at_entry_pct  =  (intraday_high − entry_price_315pm) ÷ intraday_high × 100  ≤  5%</w:t>
      </w:r>
    </w:p>
    <w:p>
      <w:pPr>
        <w:spacing w:before="20" w:after="60"/>
      </w:pPr>
      <w:r>
        <w:rPr>
          <w:rFonts w:ascii="Calibri" w:hAnsi="Calibri"/>
          <w:b w:val="0"/>
          <w:i w:val="0"/>
          <w:color w:val="000000"/>
          <w:sz w:val="20"/>
        </w:rPr>
        <w:t>What data is needed:</w:t>
      </w:r>
    </w:p>
    <w:p>
      <w:pPr>
        <w:pStyle w:val="ListBullet"/>
        <w:spacing w:before="20" w:after="40"/>
        <w:ind w:left="454"/>
      </w:pPr>
      <w:r>
        <w:rPr>
          <w:rFonts w:ascii="Calibri" w:hAnsi="Calibri"/>
          <w:sz w:val="20"/>
        </w:rPr>
        <w:t>Maximum high price from ALL candles between 09:15 and 15:00 (inclusive)</w:t>
      </w:r>
    </w:p>
    <w:p>
      <w:pPr>
        <w:pStyle w:val="ListBullet"/>
        <w:spacing w:before="20" w:after="40"/>
        <w:ind w:left="454"/>
      </w:pPr>
      <w:r>
        <w:rPr>
          <w:rFonts w:ascii="Calibri" w:hAnsi="Calibri"/>
          <w:sz w:val="20"/>
        </w:rPr>
        <w:t>Open of the 15:15 candle (the entry price)</w:t>
      </w:r>
    </w:p>
    <w:p>
      <w:pPr>
        <w:spacing w:before="20" w:after="60"/>
      </w:pPr>
      <w:r>
        <w:rPr>
          <w:rFonts w:ascii="Calibri" w:hAnsi="Calibri"/>
          <w:b/>
          <w:i w:val="0"/>
          <w:color w:val="000000"/>
          <w:sz w:val="20"/>
        </w:rPr>
        <w:t>Step-by-step breakdown:</w:t>
      </w:r>
    </w:p>
    <w:p>
      <w:pPr>
        <w:spacing w:before="160" w:after="40"/>
      </w:pPr>
      <w:r>
        <w:rPr>
          <w:rFonts w:ascii="Calibri" w:hAnsi="Calibri"/>
          <w:b/>
          <w:color w:val="C55A11"/>
          <w:sz w:val="22"/>
        </w:rPr>
        <w:t>A. Intraday high before entry (cumhigh_15)</w:t>
      </w:r>
    </w:p>
    <w:p>
      <w:pPr>
        <w:spacing w:before="20" w:after="60"/>
        <w:ind w:left="283"/>
      </w:pPr>
      <w:r>
        <w:rPr>
          <w:rFonts w:ascii="Calibri" w:hAnsi="Calibri"/>
          <w:b w:val="0"/>
          <w:i w:val="0"/>
          <w:color w:val="000000"/>
          <w:sz w:val="20"/>
        </w:rPr>
        <w:t>Look at every 15-minute candle from 09:15 through 15:00 inclusive. Take the maximum 'high' value across all those candles. This is the highest price the stock reached before you buy it.</w:t>
      </w:r>
    </w:p>
    <w:p>
      <w:pPr>
        <w:spacing w:before="60" w:after="60"/>
        <w:ind w:left="850"/>
      </w:pPr>
      <w:r>
        <w:rPr>
          <w:rFonts w:ascii="Courier New" w:hAnsi="Courier New"/>
          <w:color w:val="193A64"/>
          <w:sz w:val="19"/>
        </w:rPr>
        <w:t>cumhigh_15 = MAX(high) across candles: 09:15, 09:30, …, 14:45, 15:00</w:t>
      </w:r>
    </w:p>
    <w:p>
      <w:pPr>
        <w:spacing w:before="160" w:after="40"/>
      </w:pPr>
      <w:r>
        <w:rPr>
          <w:rFonts w:ascii="Calibri" w:hAnsi="Calibri"/>
          <w:b/>
          <w:color w:val="C55A11"/>
          <w:sz w:val="22"/>
        </w:rPr>
        <w:t>B. Entry price (entry_price_315pm)</w:t>
      </w:r>
    </w:p>
    <w:p>
      <w:pPr>
        <w:spacing w:before="20" w:after="60"/>
        <w:ind w:left="283"/>
      </w:pPr>
      <w:r>
        <w:rPr>
          <w:rFonts w:ascii="Calibri" w:hAnsi="Calibri"/>
          <w:b w:val="0"/>
          <w:i w:val="0"/>
          <w:color w:val="000000"/>
          <w:sz w:val="20"/>
        </w:rPr>
        <w:t>This is the open of the 15:15 candle — the first price at which you can actually place a trade after the 3pm candle closes and the signal is confirmed.</w:t>
      </w:r>
    </w:p>
    <w:p>
      <w:pPr>
        <w:spacing w:before="60" w:after="60"/>
        <w:ind w:left="850"/>
      </w:pPr>
      <w:r>
        <w:rPr>
          <w:rFonts w:ascii="Courier New" w:hAnsi="Courier New"/>
          <w:color w:val="193A64"/>
          <w:sz w:val="19"/>
        </w:rPr>
        <w:t>entry_price_315pm = open of the 15:15 candle</w:t>
      </w:r>
    </w:p>
    <w:p>
      <w:pPr>
        <w:spacing w:before="160" w:after="40"/>
      </w:pPr>
      <w:r>
        <w:rPr>
          <w:rFonts w:ascii="Calibri" w:hAnsi="Calibri"/>
          <w:b/>
          <w:color w:val="C55A11"/>
          <w:sz w:val="22"/>
        </w:rPr>
        <w:t>C. Why no lookahead?</w:t>
      </w:r>
    </w:p>
    <w:p>
      <w:pPr>
        <w:spacing w:before="20" w:after="60"/>
        <w:ind w:left="283"/>
      </w:pPr>
      <w:r>
        <w:rPr>
          <w:rFonts w:ascii="Calibri" w:hAnsi="Calibri"/>
          <w:b w:val="0"/>
          <w:i w:val="0"/>
          <w:color w:val="000000"/>
          <w:sz w:val="20"/>
        </w:rPr>
        <w:t>The 15:00 candle closes at exactly 15:15:00. The 15:15 candle opens at exactly 15:15:00. So at the moment you place your buy order (15:15 open), the 15:00 candle has already closed and its high is fully known. There is zero lookahead — the signal is computable in real time at the moment of entry.</w:t>
      </w:r>
    </w:p>
    <w:p>
      <w:pPr>
        <w:spacing w:before="160" w:after="40"/>
      </w:pPr>
      <w:r>
        <w:rPr>
          <w:rFonts w:ascii="Calibri" w:hAnsi="Calibri"/>
          <w:b/>
          <w:color w:val="C55A11"/>
          <w:sz w:val="22"/>
        </w:rPr>
        <w:t>D. What the fade means economically</w:t>
      </w:r>
    </w:p>
    <w:p>
      <w:pPr>
        <w:spacing w:before="20" w:after="60"/>
        <w:ind w:left="283"/>
      </w:pPr>
      <w:r>
        <w:rPr>
          <w:rFonts w:ascii="Calibri" w:hAnsi="Calibri"/>
          <w:b w:val="0"/>
          <w:i w:val="0"/>
          <w:color w:val="000000"/>
          <w:sz w:val="20"/>
        </w:rPr>
        <w:t>If a stock hit ₹409 at its intraday peak and you are buying at ₹389, the stock has already 'faded' or pulled back 4.9% from its high. A fade ≤5% means you are entering close to the intraday peak — still in a strong momentum move. A fade &gt;5% means the stock has already given back too much of its gain and the breakout is likely failing.</w:t>
      </w:r>
    </w:p>
    <w:p/>
    <w:p>
      <w:pPr>
        <w:spacing w:before="320" w:after="80"/>
        <w:ind w:left="0"/>
        <w:pBdr>
          <w:bottom w:val="single" w:sz="6" w:space="1" w:color="2E74B5"/>
        </w:pBdr>
      </w:pPr>
      <w:r>
        <w:rPr>
          <w:rFonts w:ascii="Calibri" w:hAnsi="Calibri"/>
          <w:b/>
          <w:color w:val="1F497D"/>
          <w:sz w:val="32"/>
        </w:rPr>
        <w:t>4. Real-Life Walkthrough — July 14, 2026</w:t>
      </w:r>
    </w:p>
    <w:p>
      <w:pPr>
        <w:spacing w:before="20" w:after="60"/>
      </w:pPr>
      <w:r>
        <w:rPr>
          <w:rFonts w:ascii="Calibri" w:hAnsi="Calibri"/>
          <w:b w:val="0"/>
          <w:i w:val="0"/>
          <w:color w:val="000000"/>
          <w:sz w:val="20"/>
        </w:rPr>
        <w:t>On July 14, 2026 four stocks passed all four criteria. Below we walk through each calculation in detail for DYCL (the first signal), then show the summary for all four.</w:t>
      </w:r>
    </w:p>
    <w:p/>
    <w:p>
      <w:pPr>
        <w:spacing w:before="200" w:after="40"/>
      </w:pPr>
      <w:r>
        <w:rPr>
          <w:rFonts w:ascii="Calibri" w:hAnsi="Calibri"/>
          <w:b/>
          <w:color w:val="2E74B5"/>
          <w:sz w:val="26"/>
        </w:rPr>
        <w:t>4.1  DYCL — Full Calculation Walkthrough</w:t>
      </w:r>
    </w:p>
    <w:p>
      <w:pPr>
        <w:spacing w:before="20" w:after="60"/>
      </w:pPr>
      <w:r>
        <w:rPr>
          <w:rFonts w:ascii="Calibri" w:hAnsi="Calibri"/>
          <w:b w:val="0"/>
          <w:i w:val="0"/>
          <w:color w:val="000000"/>
          <w:sz w:val="20"/>
        </w:rPr>
        <w:t>From the trade list: entry_price_315pm = ₹389.15</w:t>
      </w:r>
    </w:p>
    <w:p/>
    <w:p>
      <w:pPr>
        <w:spacing w:before="160" w:after="40"/>
      </w:pPr>
      <w:r>
        <w:rPr>
          <w:rFonts w:ascii="Calibri" w:hAnsi="Calibri"/>
          <w:b/>
          <w:color w:val="C55A11"/>
          <w:sz w:val="22"/>
        </w:rPr>
        <w:t>Criterion 1: Market Cap</w:t>
      </w:r>
    </w:p>
    <w:p>
      <w:pPr>
        <w:spacing w:before="20" w:after="60"/>
        <w:ind w:left="283"/>
      </w:pPr>
      <w:r>
        <w:rPr>
          <w:rFonts w:ascii="Calibri" w:hAnsi="Calibri"/>
          <w:b w:val="0"/>
          <w:i w:val="0"/>
          <w:color w:val="000000"/>
          <w:sz w:val="20"/>
        </w:rPr>
        <w:t>Snapshot used: NSE semi-annual list ending December 2025</w:t>
      </w:r>
    </w:p>
    <w:p>
      <w:pPr>
        <w:spacing w:before="60" w:after="60"/>
        <w:ind w:left="850"/>
      </w:pPr>
      <w:r>
        <w:rPr>
          <w:rFonts w:ascii="Courier New" w:hAnsi="Courier New"/>
          <w:color w:val="193A64"/>
          <w:sz w:val="19"/>
        </w:rPr>
        <w:t>market_cap_value = ₹1,944.86 Cr</w:t>
      </w:r>
    </w:p>
    <w:p>
      <w:pPr>
        <w:spacing w:before="20" w:after="40"/>
        <w:ind w:left="850"/>
      </w:pPr>
      <w:r>
        <w:rPr>
          <w:rFonts w:ascii="Calibri" w:hAnsi="Calibri"/>
          <w:sz w:val="20"/>
        </w:rPr>
        <w:t xml:space="preserve">Range check: ₹1,500 Cr ≤ ₹1,944.86 Cr ≤ ₹5,000 Cr  →  </w:t>
      </w:r>
      <w:r>
        <w:rPr>
          <w:rFonts w:ascii="Calibri" w:hAnsi="Calibri"/>
          <w:b/>
          <w:color w:val="175C2D"/>
          <w:sz w:val="20"/>
        </w:rPr>
        <w:t>PASS</w:t>
      </w:r>
    </w:p>
    <w:p/>
    <w:p>
      <w:pPr>
        <w:spacing w:before="160" w:after="40"/>
      </w:pPr>
      <w:r>
        <w:rPr>
          <w:rFonts w:ascii="Calibri" w:hAnsi="Calibri"/>
          <w:b/>
          <w:color w:val="C55A11"/>
          <w:sz w:val="22"/>
        </w:rPr>
        <w:t>Criterion 2: Volume Spike</w:t>
      </w:r>
    </w:p>
    <w:p>
      <w:pPr>
        <w:spacing w:before="20" w:after="60"/>
        <w:ind w:left="283"/>
      </w:pPr>
      <w:r>
        <w:rPr>
          <w:rFonts w:ascii="Calibri" w:hAnsi="Calibri"/>
          <w:b w:val="0"/>
          <w:i w:val="0"/>
          <w:color w:val="000000"/>
          <w:sz w:val="20"/>
        </w:rPr>
        <w:t>Here is how the numbers build up:</w:t>
      </w:r>
    </w:p>
    <w:p>
      <w:pPr>
        <w:spacing w:before="60" w:after="60"/>
        <w:ind w:left="850"/>
      </w:pPr>
      <w:r>
        <w:rPr>
          <w:rFonts w:ascii="Courier New" w:hAnsi="Courier New"/>
          <w:color w:val="193A64"/>
          <w:sz w:val="19"/>
        </w:rPr>
        <w:t>cum_vol_0915_to_1445  =  sum of volume in every 15-min candle 09:15 → 14:45</w:t>
      </w:r>
    </w:p>
    <w:p>
      <w:pPr>
        <w:spacing w:before="20" w:after="60"/>
        <w:ind w:left="283"/>
      </w:pPr>
      <w:r>
        <w:rPr>
          <w:rFonts w:ascii="Calibri" w:hAnsi="Calibri"/>
          <w:b w:val="0"/>
          <w:i w:val="0"/>
          <w:color w:val="000000"/>
          <w:sz w:val="20"/>
        </w:rPr>
        <w:t>Let's say DYCL's 36-day average full-day volume is approximately 275,000 shares. On July 14 the cumulative volume to 2:45 PM was roughly 4,580,000 shares.</w:t>
      </w:r>
    </w:p>
    <w:p>
      <w:pPr>
        <w:spacing w:before="60" w:after="60"/>
        <w:ind w:left="850"/>
      </w:pPr>
      <w:r>
        <w:rPr>
          <w:rFonts w:ascii="Courier New" w:hAnsi="Courier New"/>
          <w:color w:val="193A64"/>
          <w:sz w:val="19"/>
        </w:rPr>
        <w:t>volume_ratio = 4,580,000 ÷ 274,600 ≈ 16.67×</w:t>
      </w:r>
    </w:p>
    <w:p>
      <w:pPr>
        <w:spacing w:before="20" w:after="40"/>
        <w:ind w:left="850"/>
      </w:pPr>
      <w:r>
        <w:rPr>
          <w:rFonts w:ascii="Calibri" w:hAnsi="Calibri"/>
          <w:sz w:val="20"/>
        </w:rPr>
        <w:t xml:space="preserve">Volume ratio: 16.67×  ≥  6×  →  </w:t>
      </w:r>
      <w:r>
        <w:rPr>
          <w:rFonts w:ascii="Calibri" w:hAnsi="Calibri"/>
          <w:b/>
          <w:color w:val="175C2D"/>
          <w:sz w:val="20"/>
        </w:rPr>
        <w:t>PASS</w:t>
      </w:r>
    </w:p>
    <w:p/>
    <w:p>
      <w:pPr>
        <w:spacing w:before="160" w:after="40"/>
      </w:pPr>
      <w:r>
        <w:rPr>
          <w:rFonts w:ascii="Calibri" w:hAnsi="Calibri"/>
          <w:b/>
          <w:color w:val="C55A11"/>
          <w:sz w:val="22"/>
        </w:rPr>
        <w:t>Criterion 3: Return vs Previous Day VWAP</w:t>
      </w:r>
    </w:p>
    <w:p>
      <w:pPr>
        <w:spacing w:before="20" w:after="60"/>
        <w:ind w:left="283"/>
      </w:pPr>
      <w:r>
        <w:rPr>
          <w:rFonts w:ascii="Calibri" w:hAnsi="Calibri"/>
          <w:b w:val="0"/>
          <w:i w:val="0"/>
          <w:color w:val="000000"/>
          <w:sz w:val="20"/>
        </w:rPr>
        <w:t>Previous day (July 13, 2026) last two candles: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008"/>
            <w:shd w:val="clear" w:color="auto" w:fill="2E74B5"/>
          </w:tcPr>
          <w:p>
            <w:pPr>
              <w:jc w:val="center"/>
            </w:pPr>
            <w:r>
              <w:rPr>
                <w:rFonts w:ascii="Calibri" w:hAnsi="Calibri"/>
                <w:b/>
                <w:color w:val="FFFFFF"/>
                <w:sz w:val="18"/>
              </w:rPr>
              <w:t>Candle</w:t>
            </w:r>
          </w:p>
        </w:tc>
        <w:tc>
          <w:tcPr>
            <w:tcW w:type="dxa" w:w="864"/>
            <w:shd w:val="clear" w:color="auto" w:fill="2E74B5"/>
          </w:tcPr>
          <w:p>
            <w:pPr>
              <w:jc w:val="center"/>
            </w:pPr>
            <w:r>
              <w:rPr>
                <w:rFonts w:ascii="Calibri" w:hAnsi="Calibri"/>
                <w:b/>
                <w:color w:val="FFFFFF"/>
                <w:sz w:val="18"/>
              </w:rPr>
              <w:t>Open</w:t>
            </w:r>
          </w:p>
        </w:tc>
        <w:tc>
          <w:tcPr>
            <w:tcW w:type="dxa" w:w="1152"/>
            <w:shd w:val="clear" w:color="auto" w:fill="2E74B5"/>
          </w:tcPr>
          <w:p>
            <w:pPr>
              <w:jc w:val="center"/>
            </w:pPr>
            <w:r>
              <w:rPr>
                <w:rFonts w:ascii="Calibri" w:hAnsi="Calibri"/>
                <w:b/>
                <w:color w:val="FFFFFF"/>
                <w:sz w:val="18"/>
              </w:rPr>
              <w:t>High</w:t>
            </w:r>
          </w:p>
        </w:tc>
        <w:tc>
          <w:tcPr>
            <w:tcW w:type="dxa" w:w="1008"/>
            <w:shd w:val="clear" w:color="auto" w:fill="2E74B5"/>
          </w:tcPr>
          <w:p>
            <w:pPr>
              <w:jc w:val="center"/>
            </w:pPr>
            <w:r>
              <w:rPr>
                <w:rFonts w:ascii="Calibri" w:hAnsi="Calibri"/>
                <w:b/>
                <w:color w:val="FFFFFF"/>
                <w:sz w:val="18"/>
              </w:rPr>
              <w:t>Low</w:t>
            </w:r>
          </w:p>
        </w:tc>
        <w:tc>
          <w:tcPr>
            <w:tcW w:type="dxa" w:w="1008"/>
            <w:shd w:val="clear" w:color="auto" w:fill="2E74B5"/>
          </w:tcPr>
          <w:p>
            <w:pPr>
              <w:jc w:val="center"/>
            </w:pPr>
            <w:r>
              <w:rPr>
                <w:rFonts w:ascii="Calibri" w:hAnsi="Calibri"/>
                <w:b/>
                <w:color w:val="FFFFFF"/>
                <w:sz w:val="18"/>
              </w:rPr>
              <w:t>Close</w:t>
            </w:r>
          </w:p>
        </w:tc>
        <w:tc>
          <w:tcPr>
            <w:tcW w:type="dxa" w:w="1296"/>
            <w:shd w:val="clear" w:color="auto" w:fill="2E74B5"/>
          </w:tcPr>
          <w:p>
            <w:pPr>
              <w:jc w:val="center"/>
            </w:pPr>
            <w:r>
              <w:rPr>
                <w:rFonts w:ascii="Calibri" w:hAnsi="Calibri"/>
                <w:b/>
                <w:color w:val="FFFFFF"/>
                <w:sz w:val="18"/>
              </w:rPr>
              <w:t>Volume</w:t>
            </w:r>
          </w:p>
        </w:tc>
        <w:tc>
          <w:tcPr>
            <w:tcW w:type="dxa" w:w="2448"/>
            <w:shd w:val="clear" w:color="auto" w:fill="2E74B5"/>
          </w:tcPr>
          <w:p>
            <w:pPr>
              <w:jc w:val="center"/>
            </w:pPr>
            <w:r>
              <w:rPr>
                <w:rFonts w:ascii="Calibri" w:hAnsi="Calibri"/>
                <w:b/>
                <w:color w:val="FFFFFF"/>
                <w:sz w:val="18"/>
              </w:rPr>
              <w:t>Typical Price (H+L+C)/3</w:t>
            </w:r>
          </w:p>
        </w:tc>
      </w:tr>
      <w:tr>
        <w:tc>
          <w:tcPr>
            <w:tcW w:type="dxa" w:w="1008"/>
            <w:shd w:val="clear" w:color="auto" w:fill="EAF2FF"/>
          </w:tcPr>
          <w:p>
            <w:pPr>
              <w:jc w:val="center"/>
            </w:pPr>
            <w:r>
              <w:rPr>
                <w:rFonts w:ascii="Calibri" w:hAnsi="Calibri"/>
                <w:sz w:val="18"/>
              </w:rPr>
              <w:t>15:00</w:t>
            </w:r>
          </w:p>
        </w:tc>
        <w:tc>
          <w:tcPr>
            <w:tcW w:type="dxa" w:w="864"/>
            <w:shd w:val="clear" w:color="auto" w:fill="EAF2FF"/>
          </w:tcPr>
          <w:p>
            <w:pPr>
              <w:jc w:val="center"/>
            </w:pPr>
            <w:r>
              <w:rPr>
                <w:rFonts w:ascii="Calibri" w:hAnsi="Calibri"/>
                <w:sz w:val="18"/>
              </w:rPr>
              <w:t>—</w:t>
            </w:r>
          </w:p>
        </w:tc>
        <w:tc>
          <w:tcPr>
            <w:tcW w:type="dxa" w:w="1152"/>
            <w:shd w:val="clear" w:color="auto" w:fill="EAF2FF"/>
          </w:tcPr>
          <w:p>
            <w:pPr>
              <w:jc w:val="center"/>
            </w:pPr>
            <w:r>
              <w:rPr>
                <w:rFonts w:ascii="Calibri" w:hAnsi="Calibri"/>
                <w:sz w:val="18"/>
              </w:rPr>
              <w:t>366.50</w:t>
            </w:r>
          </w:p>
        </w:tc>
        <w:tc>
          <w:tcPr>
            <w:tcW w:type="dxa" w:w="1008"/>
            <w:shd w:val="clear" w:color="auto" w:fill="EAF2FF"/>
          </w:tcPr>
          <w:p>
            <w:pPr>
              <w:jc w:val="center"/>
            </w:pPr>
            <w:r>
              <w:rPr>
                <w:rFonts w:ascii="Calibri" w:hAnsi="Calibri"/>
                <w:sz w:val="18"/>
              </w:rPr>
              <w:t>364.10</w:t>
            </w:r>
          </w:p>
        </w:tc>
        <w:tc>
          <w:tcPr>
            <w:tcW w:type="dxa" w:w="1008"/>
            <w:shd w:val="clear" w:color="auto" w:fill="EAF2FF"/>
          </w:tcPr>
          <w:p>
            <w:pPr>
              <w:jc w:val="center"/>
            </w:pPr>
            <w:r>
              <w:rPr>
                <w:rFonts w:ascii="Calibri" w:hAnsi="Calibri"/>
                <w:sz w:val="18"/>
              </w:rPr>
              <w:t>365.20</w:t>
            </w:r>
          </w:p>
        </w:tc>
        <w:tc>
          <w:tcPr>
            <w:tcW w:type="dxa" w:w="1296"/>
            <w:shd w:val="clear" w:color="auto" w:fill="EAF2FF"/>
          </w:tcPr>
          <w:p>
            <w:pPr>
              <w:jc w:val="center"/>
            </w:pPr>
            <w:r>
              <w:rPr>
                <w:rFonts w:ascii="Calibri" w:hAnsi="Calibri"/>
                <w:sz w:val="18"/>
              </w:rPr>
              <w:t>84,200</w:t>
            </w:r>
          </w:p>
        </w:tc>
        <w:tc>
          <w:tcPr>
            <w:tcW w:type="dxa" w:w="2448"/>
            <w:shd w:val="clear" w:color="auto" w:fill="EAF2FF"/>
          </w:tcPr>
          <w:p>
            <w:pPr>
              <w:jc w:val="center"/>
            </w:pPr>
            <w:r>
              <w:rPr>
                <w:rFonts w:ascii="Calibri" w:hAnsi="Calibri"/>
                <w:sz w:val="18"/>
              </w:rPr>
              <w:t>365.27</w:t>
            </w:r>
          </w:p>
        </w:tc>
      </w:tr>
      <w:tr>
        <w:tc>
          <w:tcPr>
            <w:tcW w:type="dxa" w:w="1008"/>
            <w:shd w:val="clear" w:color="auto" w:fill="FFFFFF"/>
          </w:tcPr>
          <w:p>
            <w:pPr>
              <w:jc w:val="center"/>
            </w:pPr>
            <w:r>
              <w:rPr>
                <w:rFonts w:ascii="Calibri" w:hAnsi="Calibri"/>
                <w:sz w:val="18"/>
              </w:rPr>
              <w:t>15:15</w:t>
            </w:r>
          </w:p>
        </w:tc>
        <w:tc>
          <w:tcPr>
            <w:tcW w:type="dxa" w:w="864"/>
            <w:shd w:val="clear" w:color="auto" w:fill="FFFFFF"/>
          </w:tcPr>
          <w:p>
            <w:pPr>
              <w:jc w:val="center"/>
            </w:pPr>
            <w:r>
              <w:rPr>
                <w:rFonts w:ascii="Calibri" w:hAnsi="Calibri"/>
                <w:sz w:val="18"/>
              </w:rPr>
              <w:t>—</w:t>
            </w:r>
          </w:p>
        </w:tc>
        <w:tc>
          <w:tcPr>
            <w:tcW w:type="dxa" w:w="1152"/>
            <w:shd w:val="clear" w:color="auto" w:fill="FFFFFF"/>
          </w:tcPr>
          <w:p>
            <w:pPr>
              <w:jc w:val="center"/>
            </w:pPr>
            <w:r>
              <w:rPr>
                <w:rFonts w:ascii="Calibri" w:hAnsi="Calibri"/>
                <w:sz w:val="18"/>
              </w:rPr>
              <w:t>365.80</w:t>
            </w:r>
          </w:p>
        </w:tc>
        <w:tc>
          <w:tcPr>
            <w:tcW w:type="dxa" w:w="1008"/>
            <w:shd w:val="clear" w:color="auto" w:fill="FFFFFF"/>
          </w:tcPr>
          <w:p>
            <w:pPr>
              <w:jc w:val="center"/>
            </w:pPr>
            <w:r>
              <w:rPr>
                <w:rFonts w:ascii="Calibri" w:hAnsi="Calibri"/>
                <w:sz w:val="18"/>
              </w:rPr>
              <w:t>363.50</w:t>
            </w:r>
          </w:p>
        </w:tc>
        <w:tc>
          <w:tcPr>
            <w:tcW w:type="dxa" w:w="1008"/>
            <w:shd w:val="clear" w:color="auto" w:fill="FFFFFF"/>
          </w:tcPr>
          <w:p>
            <w:pPr>
              <w:jc w:val="center"/>
            </w:pPr>
            <w:r>
              <w:rPr>
                <w:rFonts w:ascii="Calibri" w:hAnsi="Calibri"/>
                <w:sz w:val="18"/>
              </w:rPr>
              <w:t>364.30</w:t>
            </w:r>
          </w:p>
        </w:tc>
        <w:tc>
          <w:tcPr>
            <w:tcW w:type="dxa" w:w="1296"/>
            <w:shd w:val="clear" w:color="auto" w:fill="FFFFFF"/>
          </w:tcPr>
          <w:p>
            <w:pPr>
              <w:jc w:val="center"/>
            </w:pPr>
            <w:r>
              <w:rPr>
                <w:rFonts w:ascii="Calibri" w:hAnsi="Calibri"/>
                <w:sz w:val="18"/>
              </w:rPr>
              <w:t>61,500</w:t>
            </w:r>
          </w:p>
        </w:tc>
        <w:tc>
          <w:tcPr>
            <w:tcW w:type="dxa" w:w="2448"/>
            <w:shd w:val="clear" w:color="auto" w:fill="FFFFFF"/>
          </w:tcPr>
          <w:p>
            <w:pPr>
              <w:jc w:val="center"/>
            </w:pPr>
            <w:r>
              <w:rPr>
                <w:rFonts w:ascii="Calibri" w:hAnsi="Calibri"/>
                <w:sz w:val="18"/>
              </w:rPr>
              <w:t>364.53</w:t>
            </w:r>
          </w:p>
        </w:tc>
      </w:tr>
    </w:tbl>
    <w:p/>
    <w:p>
      <w:pPr>
        <w:spacing w:before="60" w:after="60"/>
        <w:ind w:left="850"/>
      </w:pPr>
      <w:r>
        <w:rPr>
          <w:rFonts w:ascii="Courier New" w:hAnsi="Courier New"/>
          <w:color w:val="193A64"/>
          <w:sz w:val="19"/>
        </w:rPr>
        <w:t>prev_vwap = (365.27 × 84,200  +  364.53 × 61,500)</w:t>
      </w:r>
    </w:p>
    <w:p>
      <w:pPr>
        <w:spacing w:before="60" w:after="60"/>
        <w:ind w:left="850"/>
      </w:pPr>
      <w:r>
        <w:rPr>
          <w:rFonts w:ascii="Courier New" w:hAnsi="Courier New"/>
          <w:color w:val="193A64"/>
          <w:sz w:val="19"/>
        </w:rPr>
        <w:t xml:space="preserve">           ÷ (84,200 + 61,500)</w:t>
      </w:r>
    </w:p>
    <w:p>
      <w:pPr>
        <w:spacing w:before="60" w:after="60"/>
        <w:ind w:left="850"/>
      </w:pPr>
      <w:r>
        <w:rPr>
          <w:rFonts w:ascii="Courier New" w:hAnsi="Courier New"/>
          <w:color w:val="193A64"/>
          <w:sz w:val="19"/>
        </w:rPr>
        <w:t xml:space="preserve">         = (30,755,734 + 22,418,595) ÷ 145,700</w:t>
      </w:r>
    </w:p>
    <w:p>
      <w:pPr>
        <w:spacing w:before="60" w:after="60"/>
        <w:ind w:left="850"/>
      </w:pPr>
      <w:r>
        <w:rPr>
          <w:rFonts w:ascii="Courier New" w:hAnsi="Courier New"/>
          <w:color w:val="193A64"/>
          <w:sz w:val="19"/>
        </w:rPr>
        <w:t xml:space="preserve">         = 53,174,329 ÷ 145,700</w:t>
      </w:r>
    </w:p>
    <w:p>
      <w:pPr>
        <w:spacing w:before="60" w:after="60"/>
        <w:ind w:left="850"/>
      </w:pPr>
      <w:r>
        <w:rPr>
          <w:rFonts w:ascii="Courier New" w:hAnsi="Courier New"/>
          <w:color w:val="193A64"/>
          <w:sz w:val="19"/>
        </w:rPr>
        <w:t xml:space="preserve">         ≈ ₹364.96</w:t>
      </w:r>
    </w:p>
    <w:p/>
    <w:p>
      <w:pPr>
        <w:spacing w:before="20" w:after="60"/>
        <w:ind w:left="283"/>
      </w:pPr>
      <w:r>
        <w:rPr>
          <w:rFonts w:ascii="Calibri" w:hAnsi="Calibri"/>
          <w:b w:val="0"/>
          <w:i w:val="0"/>
          <w:color w:val="000000"/>
          <w:sz w:val="20"/>
        </w:rPr>
        <w:t>Today (July 14) 3:00 PM candle open:</w:t>
      </w:r>
    </w:p>
    <w:p>
      <w:pPr>
        <w:spacing w:before="60" w:after="60"/>
        <w:ind w:left="850"/>
      </w:pPr>
      <w:r>
        <w:rPr>
          <w:rFonts w:ascii="Courier New" w:hAnsi="Courier New"/>
          <w:color w:val="193A64"/>
          <w:sz w:val="19"/>
        </w:rPr>
        <w:t>pm3_open (open of 15:00 candle)  =  ₹387.00  (reference for return check)</w:t>
      </w:r>
    </w:p>
    <w:p/>
    <w:p>
      <w:pPr>
        <w:spacing w:before="60" w:after="60"/>
        <w:ind w:left="850"/>
      </w:pPr>
      <w:r>
        <w:rPr>
          <w:rFonts w:ascii="Courier New" w:hAnsi="Courier New"/>
          <w:color w:val="193A64"/>
          <w:sz w:val="19"/>
        </w:rPr>
        <w:t>return_pct = (387.00 − 364.96) ÷ 364.96 × 100</w:t>
      </w:r>
    </w:p>
    <w:p>
      <w:pPr>
        <w:spacing w:before="60" w:after="60"/>
        <w:ind w:left="850"/>
      </w:pPr>
      <w:r>
        <w:rPr>
          <w:rFonts w:ascii="Courier New" w:hAnsi="Courier New"/>
          <w:color w:val="193A64"/>
          <w:sz w:val="19"/>
        </w:rPr>
        <w:t xml:space="preserve">           = 22.04 ÷ 364.96 × 100</w:t>
      </w:r>
    </w:p>
    <w:p>
      <w:pPr>
        <w:spacing w:before="60" w:after="60"/>
        <w:ind w:left="850"/>
      </w:pPr>
      <w:r>
        <w:rPr>
          <w:rFonts w:ascii="Courier New" w:hAnsi="Courier New"/>
          <w:color w:val="193A64"/>
          <w:sz w:val="19"/>
        </w:rPr>
        <w:t xml:space="preserve">           ≈ 6.04%</w:t>
      </w:r>
    </w:p>
    <w:p>
      <w:pPr>
        <w:spacing w:before="20" w:after="40"/>
        <w:ind w:left="850"/>
      </w:pPr>
      <w:r>
        <w:rPr>
          <w:rFonts w:ascii="Calibri" w:hAnsi="Calibri"/>
          <w:sz w:val="20"/>
        </w:rPr>
        <w:t xml:space="preserve">Return: 6.04%  ≥  5%  →  </w:t>
      </w:r>
      <w:r>
        <w:rPr>
          <w:rFonts w:ascii="Calibri" w:hAnsi="Calibri"/>
          <w:b/>
          <w:color w:val="175C2D"/>
          <w:sz w:val="20"/>
        </w:rPr>
        <w:t>PASS</w:t>
      </w:r>
    </w:p>
    <w:p/>
    <w:p>
      <w:pPr>
        <w:spacing w:before="160" w:after="40"/>
      </w:pPr>
      <w:r>
        <w:rPr>
          <w:rFonts w:ascii="Calibri" w:hAnsi="Calibri"/>
          <w:b/>
          <w:color w:val="C55A11"/>
          <w:sz w:val="22"/>
        </w:rPr>
        <w:t>Criterion 4: Fade at Entry</w:t>
      </w:r>
    </w:p>
    <w:p>
      <w:pPr>
        <w:spacing w:before="20" w:after="60"/>
        <w:ind w:left="283"/>
      </w:pPr>
      <w:r>
        <w:rPr>
          <w:rFonts w:ascii="Calibri" w:hAnsi="Calibri"/>
          <w:b w:val="0"/>
          <w:i w:val="0"/>
          <w:color w:val="000000"/>
          <w:sz w:val="20"/>
        </w:rPr>
        <w:t>The highest price DYCL reached between 09:15 and 15:00 today:</w:t>
      </w:r>
    </w:p>
    <w:p>
      <w:pPr>
        <w:spacing w:before="60" w:after="60"/>
        <w:ind w:left="850"/>
      </w:pPr>
      <w:r>
        <w:rPr>
          <w:rFonts w:ascii="Courier New" w:hAnsi="Courier New"/>
          <w:color w:val="193A64"/>
          <w:sz w:val="19"/>
        </w:rPr>
        <w:t>cumhigh_15 (max high, 09:15→15:00) = ₹409.12</w:t>
      </w:r>
    </w:p>
    <w:p/>
    <w:p>
      <w:pPr>
        <w:spacing w:before="20" w:after="60"/>
        <w:ind w:left="283"/>
      </w:pPr>
      <w:r>
        <w:rPr>
          <w:rFonts w:ascii="Calibri" w:hAnsi="Calibri"/>
          <w:b w:val="0"/>
          <w:i w:val="0"/>
          <w:color w:val="000000"/>
          <w:sz w:val="20"/>
        </w:rPr>
        <w:t>Entry price (open of the 15:15 candle):</w:t>
      </w:r>
    </w:p>
    <w:p>
      <w:pPr>
        <w:spacing w:before="60" w:after="60"/>
        <w:ind w:left="850"/>
      </w:pPr>
      <w:r>
        <w:rPr>
          <w:rFonts w:ascii="Courier New" w:hAnsi="Courier New"/>
          <w:color w:val="193A64"/>
          <w:sz w:val="19"/>
        </w:rPr>
        <w:t>entry_price_315pm = ₹389.15</w:t>
      </w:r>
    </w:p>
    <w:p/>
    <w:p>
      <w:pPr>
        <w:spacing w:before="60" w:after="60"/>
        <w:ind w:left="850"/>
      </w:pPr>
      <w:r>
        <w:rPr>
          <w:rFonts w:ascii="Courier New" w:hAnsi="Courier New"/>
          <w:color w:val="193A64"/>
          <w:sz w:val="19"/>
        </w:rPr>
        <w:t>fade_at_entry_pct = (409.12 − 389.15) ÷ 409.12 × 100</w:t>
      </w:r>
    </w:p>
    <w:p>
      <w:pPr>
        <w:spacing w:before="60" w:after="60"/>
        <w:ind w:left="850"/>
      </w:pPr>
      <w:r>
        <w:rPr>
          <w:rFonts w:ascii="Courier New" w:hAnsi="Courier New"/>
          <w:color w:val="193A64"/>
          <w:sz w:val="19"/>
        </w:rPr>
        <w:t xml:space="preserve">                  = 19.97 ÷ 409.12 × 100</w:t>
      </w:r>
    </w:p>
    <w:p>
      <w:pPr>
        <w:spacing w:before="60" w:after="60"/>
        <w:ind w:left="850"/>
      </w:pPr>
      <w:r>
        <w:rPr>
          <w:rFonts w:ascii="Courier New" w:hAnsi="Courier New"/>
          <w:color w:val="193A64"/>
          <w:sz w:val="19"/>
        </w:rPr>
        <w:t xml:space="preserve">                  ≈ 4.88%</w:t>
      </w:r>
    </w:p>
    <w:p>
      <w:pPr>
        <w:spacing w:before="20" w:after="40"/>
        <w:ind w:left="850"/>
      </w:pPr>
      <w:r>
        <w:rPr>
          <w:rFonts w:ascii="Calibri" w:hAnsi="Calibri"/>
          <w:sz w:val="20"/>
        </w:rPr>
        <w:t xml:space="preserve">Fade: 4.88%  ≤  5%  →  </w:t>
      </w:r>
      <w:r>
        <w:rPr>
          <w:rFonts w:ascii="Calibri" w:hAnsi="Calibri"/>
          <w:b/>
          <w:color w:val="175C2D"/>
          <w:sz w:val="20"/>
        </w:rPr>
        <w:t>PASS</w:t>
      </w:r>
    </w:p>
    <w:p/>
    <w:p>
      <w:pPr>
        <w:spacing w:before="20" w:after="60"/>
      </w:pPr>
      <w:r>
        <w:rPr>
          <w:rFonts w:ascii="Calibri" w:hAnsi="Calibri"/>
          <w:b/>
          <w:i w:val="0"/>
          <w:color w:val="000000"/>
          <w:sz w:val="20"/>
        </w:rPr>
        <w:t>All four criteria passed — DYCL is a signal for July 14, 2026.</w:t>
      </w:r>
    </w:p>
    <w:p/>
    <w:p>
      <w:pPr>
        <w:spacing w:before="200" w:after="40"/>
      </w:pPr>
      <w:r>
        <w:rPr>
          <w:rFonts w:ascii="Calibri" w:hAnsi="Calibri"/>
          <w:b/>
          <w:color w:val="2E74B5"/>
          <w:sz w:val="26"/>
        </w:rPr>
        <w:t>4.2  All Four Signals — Summary Table</w:t>
      </w:r>
    </w:p>
    <w:p>
      <w:pPr>
        <w:spacing w:before="20" w:after="60"/>
      </w:pPr>
      <w:r>
        <w:rPr>
          <w:rFonts w:ascii="Calibri" w:hAnsi="Calibri"/>
          <w:b w:val="0"/>
          <w:i w:val="0"/>
          <w:color w:val="000000"/>
          <w:sz w:val="20"/>
        </w:rPr>
        <w:t>The complete July 14, 2026 trade list:</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1296"/>
            <w:shd w:val="clear" w:color="auto" w:fill="2E74B5"/>
          </w:tcPr>
          <w:p>
            <w:pPr>
              <w:jc w:val="center"/>
            </w:pPr>
            <w:r>
              <w:rPr>
                <w:rFonts w:ascii="Calibri" w:hAnsi="Calibri"/>
                <w:b/>
                <w:color w:val="FFFFFF"/>
                <w:sz w:val="18"/>
              </w:rPr>
              <w:t>Symbol</w:t>
            </w:r>
          </w:p>
        </w:tc>
        <w:tc>
          <w:tcPr>
            <w:tcW w:type="dxa" w:w="1296"/>
            <w:shd w:val="clear" w:color="auto" w:fill="2E74B5"/>
          </w:tcPr>
          <w:p>
            <w:pPr>
              <w:jc w:val="center"/>
            </w:pPr>
            <w:r>
              <w:rPr>
                <w:rFonts w:ascii="Calibri" w:hAnsi="Calibri"/>
                <w:b/>
                <w:color w:val="FFFFFF"/>
                <w:sz w:val="18"/>
              </w:rPr>
              <w:t>MCap (Cr)</w:t>
            </w:r>
          </w:p>
        </w:tc>
        <w:tc>
          <w:tcPr>
            <w:tcW w:type="dxa" w:w="1152"/>
            <w:shd w:val="clear" w:color="auto" w:fill="2E74B5"/>
          </w:tcPr>
          <w:p>
            <w:pPr>
              <w:jc w:val="center"/>
            </w:pPr>
            <w:r>
              <w:rPr>
                <w:rFonts w:ascii="Calibri" w:hAnsi="Calibri"/>
                <w:b/>
                <w:color w:val="FFFFFF"/>
                <w:sz w:val="18"/>
              </w:rPr>
              <w:t>Vol Ratio</w:t>
            </w:r>
          </w:p>
        </w:tc>
        <w:tc>
          <w:tcPr>
            <w:tcW w:type="dxa" w:w="1152"/>
            <w:shd w:val="clear" w:color="auto" w:fill="2E74B5"/>
          </w:tcPr>
          <w:p>
            <w:pPr>
              <w:jc w:val="center"/>
            </w:pPr>
            <w:r>
              <w:rPr>
                <w:rFonts w:ascii="Calibri" w:hAnsi="Calibri"/>
                <w:b/>
                <w:color w:val="FFFFFF"/>
                <w:sz w:val="18"/>
              </w:rPr>
              <w:t>Return %</w:t>
            </w:r>
          </w:p>
        </w:tc>
        <w:tc>
          <w:tcPr>
            <w:tcW w:type="dxa" w:w="1008"/>
            <w:shd w:val="clear" w:color="auto" w:fill="2E74B5"/>
          </w:tcPr>
          <w:p>
            <w:pPr>
              <w:jc w:val="center"/>
            </w:pPr>
            <w:r>
              <w:rPr>
                <w:rFonts w:ascii="Calibri" w:hAnsi="Calibri"/>
                <w:b/>
                <w:color w:val="FFFFFF"/>
                <w:sz w:val="18"/>
              </w:rPr>
              <w:t>Fade %</w:t>
            </w:r>
          </w:p>
        </w:tc>
        <w:tc>
          <w:tcPr>
            <w:tcW w:type="dxa" w:w="1152"/>
            <w:shd w:val="clear" w:color="auto" w:fill="2E74B5"/>
          </w:tcPr>
          <w:p>
            <w:pPr>
              <w:jc w:val="center"/>
            </w:pPr>
            <w:r>
              <w:rPr>
                <w:rFonts w:ascii="Calibri" w:hAnsi="Calibri"/>
                <w:b/>
                <w:color w:val="FFFFFF"/>
                <w:sz w:val="18"/>
              </w:rPr>
              <w:t>Entry ₹</w:t>
            </w:r>
          </w:p>
        </w:tc>
        <w:tc>
          <w:tcPr>
            <w:tcW w:type="dxa" w:w="936"/>
            <w:shd w:val="clear" w:color="auto" w:fill="2E74B5"/>
          </w:tcPr>
          <w:p>
            <w:pPr>
              <w:jc w:val="center"/>
            </w:pPr>
            <w:r>
              <w:rPr>
                <w:rFonts w:ascii="Calibri" w:hAnsi="Calibri"/>
                <w:b/>
                <w:color w:val="FFFFFF"/>
                <w:sz w:val="18"/>
              </w:rPr>
              <w:t>MCap?</w:t>
            </w:r>
          </w:p>
        </w:tc>
        <w:tc>
          <w:tcPr>
            <w:tcW w:type="dxa" w:w="792"/>
            <w:shd w:val="clear" w:color="auto" w:fill="2E74B5"/>
          </w:tcPr>
          <w:p>
            <w:pPr>
              <w:jc w:val="center"/>
            </w:pPr>
            <w:r>
              <w:rPr>
                <w:rFonts w:ascii="Calibri" w:hAnsi="Calibri"/>
                <w:b/>
                <w:color w:val="FFFFFF"/>
                <w:sz w:val="18"/>
              </w:rPr>
              <w:t>Vol?</w:t>
            </w:r>
          </w:p>
        </w:tc>
        <w:tc>
          <w:tcPr>
            <w:tcW w:type="dxa" w:w="936"/>
            <w:shd w:val="clear" w:color="auto" w:fill="2E74B5"/>
          </w:tcPr>
          <w:p>
            <w:pPr>
              <w:jc w:val="center"/>
            </w:pPr>
            <w:r>
              <w:rPr>
                <w:rFonts w:ascii="Calibri" w:hAnsi="Calibri"/>
                <w:b/>
                <w:color w:val="FFFFFF"/>
                <w:sz w:val="18"/>
              </w:rPr>
              <w:t>Return?</w:t>
            </w:r>
          </w:p>
        </w:tc>
        <w:tc>
          <w:tcPr>
            <w:tcW w:type="dxa" w:w="792"/>
            <w:shd w:val="clear" w:color="auto" w:fill="2E74B5"/>
          </w:tcPr>
          <w:p>
            <w:pPr>
              <w:jc w:val="center"/>
            </w:pPr>
            <w:r>
              <w:rPr>
                <w:rFonts w:ascii="Calibri" w:hAnsi="Calibri"/>
                <w:b/>
                <w:color w:val="FFFFFF"/>
                <w:sz w:val="18"/>
              </w:rPr>
              <w:t>Fade?</w:t>
            </w:r>
          </w:p>
        </w:tc>
      </w:tr>
      <w:tr>
        <w:tc>
          <w:tcPr>
            <w:tcW w:type="dxa" w:w="1296"/>
            <w:shd w:val="clear" w:color="auto" w:fill="EAF2FF"/>
          </w:tcPr>
          <w:p>
            <w:pPr>
              <w:jc w:val="center"/>
            </w:pPr>
            <w:r>
              <w:rPr>
                <w:rFonts w:ascii="Calibri" w:hAnsi="Calibri"/>
                <w:sz w:val="18"/>
              </w:rPr>
              <w:t>DYCL</w:t>
            </w:r>
          </w:p>
        </w:tc>
        <w:tc>
          <w:tcPr>
            <w:tcW w:type="dxa" w:w="1296"/>
            <w:shd w:val="clear" w:color="auto" w:fill="EAF2FF"/>
          </w:tcPr>
          <w:p>
            <w:pPr>
              <w:jc w:val="center"/>
            </w:pPr>
            <w:r>
              <w:rPr>
                <w:rFonts w:ascii="Calibri" w:hAnsi="Calibri"/>
                <w:sz w:val="18"/>
              </w:rPr>
              <w:t>1,944.86</w:t>
            </w:r>
          </w:p>
        </w:tc>
        <w:tc>
          <w:tcPr>
            <w:tcW w:type="dxa" w:w="1152"/>
            <w:shd w:val="clear" w:color="auto" w:fill="EAF2FF"/>
          </w:tcPr>
          <w:p>
            <w:pPr>
              <w:jc w:val="center"/>
            </w:pPr>
            <w:r>
              <w:rPr>
                <w:rFonts w:ascii="Calibri" w:hAnsi="Calibri"/>
                <w:sz w:val="18"/>
              </w:rPr>
              <w:t>16.67×</w:t>
            </w:r>
          </w:p>
        </w:tc>
        <w:tc>
          <w:tcPr>
            <w:tcW w:type="dxa" w:w="1152"/>
            <w:shd w:val="clear" w:color="auto" w:fill="EAF2FF"/>
          </w:tcPr>
          <w:p>
            <w:pPr>
              <w:jc w:val="center"/>
            </w:pPr>
            <w:r>
              <w:rPr>
                <w:rFonts w:ascii="Calibri" w:hAnsi="Calibri"/>
                <w:sz w:val="18"/>
              </w:rPr>
              <w:t>+6.04%</w:t>
            </w:r>
          </w:p>
        </w:tc>
        <w:tc>
          <w:tcPr>
            <w:tcW w:type="dxa" w:w="1008"/>
            <w:shd w:val="clear" w:color="auto" w:fill="EAF2FF"/>
          </w:tcPr>
          <w:p>
            <w:pPr>
              <w:jc w:val="center"/>
            </w:pPr>
            <w:r>
              <w:rPr>
                <w:rFonts w:ascii="Calibri" w:hAnsi="Calibri"/>
                <w:sz w:val="18"/>
              </w:rPr>
              <w:t>4.88%</w:t>
            </w:r>
          </w:p>
        </w:tc>
        <w:tc>
          <w:tcPr>
            <w:tcW w:type="dxa" w:w="1152"/>
            <w:shd w:val="clear" w:color="auto" w:fill="EAF2FF"/>
          </w:tcPr>
          <w:p>
            <w:pPr>
              <w:jc w:val="center"/>
            </w:pPr>
            <w:r>
              <w:rPr>
                <w:rFonts w:ascii="Calibri" w:hAnsi="Calibri"/>
                <w:sz w:val="18"/>
              </w:rPr>
              <w:t>389.15</w:t>
            </w:r>
          </w:p>
        </w:tc>
        <w:tc>
          <w:tcPr>
            <w:tcW w:type="dxa" w:w="936"/>
            <w:shd w:val="clear" w:color="auto" w:fill="EAF2FF"/>
          </w:tcPr>
          <w:p>
            <w:pPr>
              <w:jc w:val="center"/>
            </w:pPr>
            <w:r>
              <w:rPr>
                <w:rFonts w:ascii="Calibri" w:hAnsi="Calibri"/>
                <w:b/>
                <w:color w:val="175C2D"/>
                <w:sz w:val="18"/>
              </w:rPr>
              <w:t>PASS</w:t>
            </w:r>
          </w:p>
        </w:tc>
        <w:tc>
          <w:tcPr>
            <w:tcW w:type="dxa" w:w="792"/>
            <w:shd w:val="clear" w:color="auto" w:fill="EAF2FF"/>
          </w:tcPr>
          <w:p>
            <w:pPr>
              <w:jc w:val="center"/>
            </w:pPr>
            <w:r>
              <w:rPr>
                <w:rFonts w:ascii="Calibri" w:hAnsi="Calibri"/>
                <w:b/>
                <w:color w:val="175C2D"/>
                <w:sz w:val="18"/>
              </w:rPr>
              <w:t>PASS</w:t>
            </w:r>
          </w:p>
        </w:tc>
        <w:tc>
          <w:tcPr>
            <w:tcW w:type="dxa" w:w="936"/>
            <w:shd w:val="clear" w:color="auto" w:fill="EAF2FF"/>
          </w:tcPr>
          <w:p>
            <w:pPr>
              <w:jc w:val="center"/>
            </w:pPr>
            <w:r>
              <w:rPr>
                <w:rFonts w:ascii="Calibri" w:hAnsi="Calibri"/>
                <w:b/>
                <w:color w:val="175C2D"/>
                <w:sz w:val="18"/>
              </w:rPr>
              <w:t>PASS</w:t>
            </w:r>
          </w:p>
        </w:tc>
        <w:tc>
          <w:tcPr>
            <w:tcW w:type="dxa" w:w="792"/>
            <w:shd w:val="clear" w:color="auto" w:fill="EAF2FF"/>
          </w:tcPr>
          <w:p>
            <w:pPr>
              <w:jc w:val="center"/>
            </w:pPr>
            <w:r>
              <w:rPr>
                <w:rFonts w:ascii="Calibri" w:hAnsi="Calibri"/>
                <w:b/>
                <w:color w:val="175C2D"/>
                <w:sz w:val="18"/>
              </w:rPr>
              <w:t>PASS</w:t>
            </w:r>
          </w:p>
        </w:tc>
      </w:tr>
      <w:tr>
        <w:tc>
          <w:tcPr>
            <w:tcW w:type="dxa" w:w="1296"/>
            <w:shd w:val="clear" w:color="auto" w:fill="FFFFFF"/>
          </w:tcPr>
          <w:p>
            <w:pPr>
              <w:jc w:val="center"/>
            </w:pPr>
            <w:r>
              <w:rPr>
                <w:rFonts w:ascii="Calibri" w:hAnsi="Calibri"/>
                <w:sz w:val="18"/>
              </w:rPr>
              <w:t>HGS</w:t>
            </w:r>
          </w:p>
        </w:tc>
        <w:tc>
          <w:tcPr>
            <w:tcW w:type="dxa" w:w="1296"/>
            <w:shd w:val="clear" w:color="auto" w:fill="FFFFFF"/>
          </w:tcPr>
          <w:p>
            <w:pPr>
              <w:jc w:val="center"/>
            </w:pPr>
            <w:r>
              <w:rPr>
                <w:rFonts w:ascii="Calibri" w:hAnsi="Calibri"/>
                <w:sz w:val="18"/>
              </w:rPr>
              <w:t>2,398.01</w:t>
            </w:r>
          </w:p>
        </w:tc>
        <w:tc>
          <w:tcPr>
            <w:tcW w:type="dxa" w:w="1152"/>
            <w:shd w:val="clear" w:color="auto" w:fill="FFFFFF"/>
          </w:tcPr>
          <w:p>
            <w:pPr>
              <w:jc w:val="center"/>
            </w:pPr>
            <w:r>
              <w:rPr>
                <w:rFonts w:ascii="Calibri" w:hAnsi="Calibri"/>
                <w:sz w:val="18"/>
              </w:rPr>
              <w:t>24.96×</w:t>
            </w:r>
          </w:p>
        </w:tc>
        <w:tc>
          <w:tcPr>
            <w:tcW w:type="dxa" w:w="1152"/>
            <w:shd w:val="clear" w:color="auto" w:fill="FFFFFF"/>
          </w:tcPr>
          <w:p>
            <w:pPr>
              <w:jc w:val="center"/>
            </w:pPr>
            <w:r>
              <w:rPr>
                <w:rFonts w:ascii="Calibri" w:hAnsi="Calibri"/>
                <w:sz w:val="18"/>
              </w:rPr>
              <w:t>+8.87%</w:t>
            </w:r>
          </w:p>
        </w:tc>
        <w:tc>
          <w:tcPr>
            <w:tcW w:type="dxa" w:w="1008"/>
            <w:shd w:val="clear" w:color="auto" w:fill="FFFFFF"/>
          </w:tcPr>
          <w:p>
            <w:pPr>
              <w:jc w:val="center"/>
            </w:pPr>
            <w:r>
              <w:rPr>
                <w:rFonts w:ascii="Calibri" w:hAnsi="Calibri"/>
                <w:sz w:val="18"/>
              </w:rPr>
              <w:t>4.54%</w:t>
            </w:r>
          </w:p>
        </w:tc>
        <w:tc>
          <w:tcPr>
            <w:tcW w:type="dxa" w:w="1152"/>
            <w:shd w:val="clear" w:color="auto" w:fill="FFFFFF"/>
          </w:tcPr>
          <w:p>
            <w:pPr>
              <w:jc w:val="center"/>
            </w:pPr>
            <w:r>
              <w:rPr>
                <w:rFonts w:ascii="Calibri" w:hAnsi="Calibri"/>
                <w:sz w:val="18"/>
              </w:rPr>
              <w:t>455.90</w:t>
            </w:r>
          </w:p>
        </w:tc>
        <w:tc>
          <w:tcPr>
            <w:tcW w:type="dxa" w:w="936"/>
            <w:shd w:val="clear" w:color="auto" w:fill="FFFFFF"/>
          </w:tcPr>
          <w:p>
            <w:pPr>
              <w:jc w:val="center"/>
            </w:pPr>
            <w:r>
              <w:rPr>
                <w:rFonts w:ascii="Calibri" w:hAnsi="Calibri"/>
                <w:b/>
                <w:color w:val="175C2D"/>
                <w:sz w:val="18"/>
              </w:rPr>
              <w:t>PASS</w:t>
            </w:r>
          </w:p>
        </w:tc>
        <w:tc>
          <w:tcPr>
            <w:tcW w:type="dxa" w:w="792"/>
            <w:shd w:val="clear" w:color="auto" w:fill="FFFFFF"/>
          </w:tcPr>
          <w:p>
            <w:pPr>
              <w:jc w:val="center"/>
            </w:pPr>
            <w:r>
              <w:rPr>
                <w:rFonts w:ascii="Calibri" w:hAnsi="Calibri"/>
                <w:b/>
                <w:color w:val="175C2D"/>
                <w:sz w:val="18"/>
              </w:rPr>
              <w:t>PASS</w:t>
            </w:r>
          </w:p>
        </w:tc>
        <w:tc>
          <w:tcPr>
            <w:tcW w:type="dxa" w:w="936"/>
            <w:shd w:val="clear" w:color="auto" w:fill="FFFFFF"/>
          </w:tcPr>
          <w:p>
            <w:pPr>
              <w:jc w:val="center"/>
            </w:pPr>
            <w:r>
              <w:rPr>
                <w:rFonts w:ascii="Calibri" w:hAnsi="Calibri"/>
                <w:b/>
                <w:color w:val="175C2D"/>
                <w:sz w:val="18"/>
              </w:rPr>
              <w:t>PASS</w:t>
            </w:r>
          </w:p>
        </w:tc>
        <w:tc>
          <w:tcPr>
            <w:tcW w:type="dxa" w:w="792"/>
            <w:shd w:val="clear" w:color="auto" w:fill="FFFFFF"/>
          </w:tcPr>
          <w:p>
            <w:pPr>
              <w:jc w:val="center"/>
            </w:pPr>
            <w:r>
              <w:rPr>
                <w:rFonts w:ascii="Calibri" w:hAnsi="Calibri"/>
                <w:b/>
                <w:color w:val="175C2D"/>
                <w:sz w:val="18"/>
              </w:rPr>
              <w:t>PASS</w:t>
            </w:r>
          </w:p>
        </w:tc>
      </w:tr>
      <w:tr>
        <w:tc>
          <w:tcPr>
            <w:tcW w:type="dxa" w:w="1296"/>
            <w:shd w:val="clear" w:color="auto" w:fill="EAF2FF"/>
          </w:tcPr>
          <w:p>
            <w:pPr>
              <w:jc w:val="center"/>
            </w:pPr>
            <w:r>
              <w:rPr>
                <w:rFonts w:ascii="Calibri" w:hAnsi="Calibri"/>
                <w:sz w:val="18"/>
              </w:rPr>
              <w:t>LANDMARK</w:t>
            </w:r>
          </w:p>
        </w:tc>
        <w:tc>
          <w:tcPr>
            <w:tcW w:type="dxa" w:w="1296"/>
            <w:shd w:val="clear" w:color="auto" w:fill="EAF2FF"/>
          </w:tcPr>
          <w:p>
            <w:pPr>
              <w:jc w:val="center"/>
            </w:pPr>
            <w:r>
              <w:rPr>
                <w:rFonts w:ascii="Calibri" w:hAnsi="Calibri"/>
                <w:sz w:val="18"/>
              </w:rPr>
              <w:t>2,320.28</w:t>
            </w:r>
          </w:p>
        </w:tc>
        <w:tc>
          <w:tcPr>
            <w:tcW w:type="dxa" w:w="1152"/>
            <w:shd w:val="clear" w:color="auto" w:fill="EAF2FF"/>
          </w:tcPr>
          <w:p>
            <w:pPr>
              <w:jc w:val="center"/>
            </w:pPr>
            <w:r>
              <w:rPr>
                <w:rFonts w:ascii="Calibri" w:hAnsi="Calibri"/>
                <w:sz w:val="18"/>
              </w:rPr>
              <w:t>39.85×</w:t>
            </w:r>
          </w:p>
        </w:tc>
        <w:tc>
          <w:tcPr>
            <w:tcW w:type="dxa" w:w="1152"/>
            <w:shd w:val="clear" w:color="auto" w:fill="EAF2FF"/>
          </w:tcPr>
          <w:p>
            <w:pPr>
              <w:jc w:val="center"/>
            </w:pPr>
            <w:r>
              <w:rPr>
                <w:rFonts w:ascii="Calibri" w:hAnsi="Calibri"/>
                <w:sz w:val="18"/>
              </w:rPr>
              <w:t>+13.40%</w:t>
            </w:r>
          </w:p>
        </w:tc>
        <w:tc>
          <w:tcPr>
            <w:tcW w:type="dxa" w:w="1008"/>
            <w:shd w:val="clear" w:color="auto" w:fill="EAF2FF"/>
          </w:tcPr>
          <w:p>
            <w:pPr>
              <w:jc w:val="center"/>
            </w:pPr>
            <w:r>
              <w:rPr>
                <w:rFonts w:ascii="Calibri" w:hAnsi="Calibri"/>
                <w:sz w:val="18"/>
              </w:rPr>
              <w:t>1.16%</w:t>
            </w:r>
          </w:p>
        </w:tc>
        <w:tc>
          <w:tcPr>
            <w:tcW w:type="dxa" w:w="1152"/>
            <w:shd w:val="clear" w:color="auto" w:fill="EAF2FF"/>
          </w:tcPr>
          <w:p>
            <w:pPr>
              <w:jc w:val="center"/>
            </w:pPr>
            <w:r>
              <w:rPr>
                <w:rFonts w:ascii="Calibri" w:hAnsi="Calibri"/>
                <w:sz w:val="18"/>
              </w:rPr>
              <w:t>490.95</w:t>
            </w:r>
          </w:p>
        </w:tc>
        <w:tc>
          <w:tcPr>
            <w:tcW w:type="dxa" w:w="936"/>
            <w:shd w:val="clear" w:color="auto" w:fill="EAF2FF"/>
          </w:tcPr>
          <w:p>
            <w:pPr>
              <w:jc w:val="center"/>
            </w:pPr>
            <w:r>
              <w:rPr>
                <w:rFonts w:ascii="Calibri" w:hAnsi="Calibri"/>
                <w:b/>
                <w:color w:val="175C2D"/>
                <w:sz w:val="18"/>
              </w:rPr>
              <w:t>PASS</w:t>
            </w:r>
          </w:p>
        </w:tc>
        <w:tc>
          <w:tcPr>
            <w:tcW w:type="dxa" w:w="792"/>
            <w:shd w:val="clear" w:color="auto" w:fill="EAF2FF"/>
          </w:tcPr>
          <w:p>
            <w:pPr>
              <w:jc w:val="center"/>
            </w:pPr>
            <w:r>
              <w:rPr>
                <w:rFonts w:ascii="Calibri" w:hAnsi="Calibri"/>
                <w:b/>
                <w:color w:val="175C2D"/>
                <w:sz w:val="18"/>
              </w:rPr>
              <w:t>PASS</w:t>
            </w:r>
          </w:p>
        </w:tc>
        <w:tc>
          <w:tcPr>
            <w:tcW w:type="dxa" w:w="936"/>
            <w:shd w:val="clear" w:color="auto" w:fill="EAF2FF"/>
          </w:tcPr>
          <w:p>
            <w:pPr>
              <w:jc w:val="center"/>
            </w:pPr>
            <w:r>
              <w:rPr>
                <w:rFonts w:ascii="Calibri" w:hAnsi="Calibri"/>
                <w:b/>
                <w:color w:val="175C2D"/>
                <w:sz w:val="18"/>
              </w:rPr>
              <w:t>PASS</w:t>
            </w:r>
          </w:p>
        </w:tc>
        <w:tc>
          <w:tcPr>
            <w:tcW w:type="dxa" w:w="792"/>
            <w:shd w:val="clear" w:color="auto" w:fill="EAF2FF"/>
          </w:tcPr>
          <w:p>
            <w:pPr>
              <w:jc w:val="center"/>
            </w:pPr>
            <w:r>
              <w:rPr>
                <w:rFonts w:ascii="Calibri" w:hAnsi="Calibri"/>
                <w:b/>
                <w:color w:val="175C2D"/>
                <w:sz w:val="18"/>
              </w:rPr>
              <w:t>PASS</w:t>
            </w:r>
          </w:p>
        </w:tc>
      </w:tr>
      <w:tr>
        <w:tc>
          <w:tcPr>
            <w:tcW w:type="dxa" w:w="1296"/>
            <w:shd w:val="clear" w:color="auto" w:fill="FFFFFF"/>
          </w:tcPr>
          <w:p>
            <w:pPr>
              <w:jc w:val="center"/>
            </w:pPr>
            <w:r>
              <w:rPr>
                <w:rFonts w:ascii="Calibri" w:hAnsi="Calibri"/>
                <w:sz w:val="18"/>
              </w:rPr>
              <w:t>TCPLPACK</w:t>
            </w:r>
          </w:p>
        </w:tc>
        <w:tc>
          <w:tcPr>
            <w:tcW w:type="dxa" w:w="1296"/>
            <w:shd w:val="clear" w:color="auto" w:fill="FFFFFF"/>
          </w:tcPr>
          <w:p>
            <w:pPr>
              <w:jc w:val="center"/>
            </w:pPr>
            <w:r>
              <w:rPr>
                <w:rFonts w:ascii="Calibri" w:hAnsi="Calibri"/>
                <w:sz w:val="18"/>
              </w:rPr>
              <w:t>3,065.73</w:t>
            </w:r>
          </w:p>
        </w:tc>
        <w:tc>
          <w:tcPr>
            <w:tcW w:type="dxa" w:w="1152"/>
            <w:shd w:val="clear" w:color="auto" w:fill="FFFFFF"/>
          </w:tcPr>
          <w:p>
            <w:pPr>
              <w:jc w:val="center"/>
            </w:pPr>
            <w:r>
              <w:rPr>
                <w:rFonts w:ascii="Calibri" w:hAnsi="Calibri"/>
                <w:sz w:val="18"/>
              </w:rPr>
              <w:t>6.49×</w:t>
            </w:r>
          </w:p>
        </w:tc>
        <w:tc>
          <w:tcPr>
            <w:tcW w:type="dxa" w:w="1152"/>
            <w:shd w:val="clear" w:color="auto" w:fill="FFFFFF"/>
          </w:tcPr>
          <w:p>
            <w:pPr>
              <w:jc w:val="center"/>
            </w:pPr>
            <w:r>
              <w:rPr>
                <w:rFonts w:ascii="Calibri" w:hAnsi="Calibri"/>
                <w:sz w:val="18"/>
              </w:rPr>
              <w:t>+5.22%</w:t>
            </w:r>
          </w:p>
        </w:tc>
        <w:tc>
          <w:tcPr>
            <w:tcW w:type="dxa" w:w="1008"/>
            <w:shd w:val="clear" w:color="auto" w:fill="FFFFFF"/>
          </w:tcPr>
          <w:p>
            <w:pPr>
              <w:jc w:val="center"/>
            </w:pPr>
            <w:r>
              <w:rPr>
                <w:rFonts w:ascii="Calibri" w:hAnsi="Calibri"/>
                <w:sz w:val="18"/>
              </w:rPr>
              <w:t>1.45%</w:t>
            </w:r>
          </w:p>
        </w:tc>
        <w:tc>
          <w:tcPr>
            <w:tcW w:type="dxa" w:w="1152"/>
            <w:shd w:val="clear" w:color="auto" w:fill="FFFFFF"/>
          </w:tcPr>
          <w:p>
            <w:pPr>
              <w:jc w:val="center"/>
            </w:pPr>
            <w:r>
              <w:rPr>
                <w:rFonts w:ascii="Calibri" w:hAnsi="Calibri"/>
                <w:sz w:val="18"/>
              </w:rPr>
              <w:t>3,203.00</w:t>
            </w:r>
          </w:p>
        </w:tc>
        <w:tc>
          <w:tcPr>
            <w:tcW w:type="dxa" w:w="936"/>
            <w:shd w:val="clear" w:color="auto" w:fill="FFFFFF"/>
          </w:tcPr>
          <w:p>
            <w:pPr>
              <w:jc w:val="center"/>
            </w:pPr>
            <w:r>
              <w:rPr>
                <w:rFonts w:ascii="Calibri" w:hAnsi="Calibri"/>
                <w:b/>
                <w:color w:val="175C2D"/>
                <w:sz w:val="18"/>
              </w:rPr>
              <w:t>PASS</w:t>
            </w:r>
          </w:p>
        </w:tc>
        <w:tc>
          <w:tcPr>
            <w:tcW w:type="dxa" w:w="792"/>
            <w:shd w:val="clear" w:color="auto" w:fill="FFFFFF"/>
          </w:tcPr>
          <w:p>
            <w:pPr>
              <w:jc w:val="center"/>
            </w:pPr>
            <w:r>
              <w:rPr>
                <w:rFonts w:ascii="Calibri" w:hAnsi="Calibri"/>
                <w:b/>
                <w:color w:val="175C2D"/>
                <w:sz w:val="18"/>
              </w:rPr>
              <w:t>PASS</w:t>
            </w:r>
          </w:p>
        </w:tc>
        <w:tc>
          <w:tcPr>
            <w:tcW w:type="dxa" w:w="936"/>
            <w:shd w:val="clear" w:color="auto" w:fill="FFFFFF"/>
          </w:tcPr>
          <w:p>
            <w:pPr>
              <w:jc w:val="center"/>
            </w:pPr>
            <w:r>
              <w:rPr>
                <w:rFonts w:ascii="Calibri" w:hAnsi="Calibri"/>
                <w:b/>
                <w:color w:val="175C2D"/>
                <w:sz w:val="18"/>
              </w:rPr>
              <w:t>PASS</w:t>
            </w:r>
          </w:p>
        </w:tc>
        <w:tc>
          <w:tcPr>
            <w:tcW w:type="dxa" w:w="792"/>
            <w:shd w:val="clear" w:color="auto" w:fill="FFFFFF"/>
          </w:tcPr>
          <w:p>
            <w:pPr>
              <w:jc w:val="center"/>
            </w:pPr>
            <w:r>
              <w:rPr>
                <w:rFonts w:ascii="Calibri" w:hAnsi="Calibri"/>
                <w:b/>
                <w:color w:val="175C2D"/>
                <w:sz w:val="18"/>
              </w:rPr>
              <w:t>PASS</w:t>
            </w:r>
          </w:p>
        </w:tc>
      </w:tr>
    </w:tbl>
    <w:p/>
    <w:p>
      <w:pPr>
        <w:spacing w:before="320" w:after="80"/>
        <w:ind w:left="0"/>
        <w:pBdr>
          <w:bottom w:val="single" w:sz="6" w:space="1" w:color="2E74B5"/>
        </w:pBdr>
      </w:pPr>
      <w:r>
        <w:rPr>
          <w:rFonts w:ascii="Calibri" w:hAnsi="Calibri"/>
          <w:b/>
          <w:color w:val="1F497D"/>
          <w:sz w:val="32"/>
        </w:rPr>
        <w:t>5. Position Sizing — How Many Shares to Buy?</w:t>
      </w:r>
    </w:p>
    <w:p>
      <w:pPr>
        <w:spacing w:before="20" w:after="60"/>
      </w:pPr>
      <w:r>
        <w:rPr>
          <w:rFonts w:ascii="Calibri" w:hAnsi="Calibri"/>
          <w:b/>
          <w:i w:val="0"/>
          <w:color w:val="000000"/>
          <w:sz w:val="20"/>
        </w:rPr>
        <w:t>The capital allocation rule is:</w:t>
      </w:r>
    </w:p>
    <w:tbl>
      <w:tblPr>
        <w:tblStyle w:val="TableGrid"/>
        <w:tblW w:type="auto" w:w="0"/>
        <w:tblLook w:firstColumn="1" w:firstRow="1" w:lastColumn="0" w:lastRow="0" w:noHBand="0" w:noVBand="1" w:val="04A0"/>
      </w:tblPr>
      <w:tblGrid>
        <w:gridCol w:w="4703"/>
        <w:gridCol w:w="4703"/>
      </w:tblGrid>
      <w:tr>
        <w:tc>
          <w:tcPr>
            <w:tcW w:type="dxa" w:w="3600"/>
            <w:shd w:val="clear" w:color="auto" w:fill="2E74B5"/>
          </w:tcPr>
          <w:p>
            <w:pPr>
              <w:jc w:val="center"/>
            </w:pPr>
            <w:r>
              <w:rPr>
                <w:rFonts w:ascii="Calibri" w:hAnsi="Calibri"/>
                <w:b/>
                <w:color w:val="FFFFFF"/>
                <w:sz w:val="18"/>
              </w:rPr>
              <w:t>Number of signals today</w:t>
            </w:r>
          </w:p>
        </w:tc>
        <w:tc>
          <w:tcPr>
            <w:tcW w:type="dxa" w:w="5760"/>
            <w:shd w:val="clear" w:color="auto" w:fill="2E74B5"/>
          </w:tcPr>
          <w:p>
            <w:pPr>
              <w:jc w:val="center"/>
            </w:pPr>
            <w:r>
              <w:rPr>
                <w:rFonts w:ascii="Calibri" w:hAnsi="Calibri"/>
                <w:b/>
                <w:color w:val="FFFFFF"/>
                <w:sz w:val="18"/>
              </w:rPr>
              <w:t>Capital per stock</w:t>
            </w:r>
          </w:p>
        </w:tc>
      </w:tr>
      <w:tr>
        <w:tc>
          <w:tcPr>
            <w:tcW w:type="dxa" w:w="3600"/>
            <w:shd w:val="clear" w:color="auto" w:fill="EAF2FF"/>
          </w:tcPr>
          <w:p>
            <w:pPr>
              <w:jc w:val="center"/>
            </w:pPr>
            <w:r>
              <w:rPr>
                <w:rFonts w:ascii="Calibri" w:hAnsi="Calibri"/>
                <w:sz w:val="18"/>
              </w:rPr>
              <w:t>1 to 5 signals</w:t>
            </w:r>
          </w:p>
        </w:tc>
        <w:tc>
          <w:tcPr>
            <w:tcW w:type="dxa" w:w="5760"/>
            <w:shd w:val="clear" w:color="auto" w:fill="EAF2FF"/>
          </w:tcPr>
          <w:p>
            <w:pPr>
              <w:jc w:val="center"/>
            </w:pPr>
            <w:r>
              <w:rPr>
                <w:rFonts w:ascii="Calibri" w:hAnsi="Calibri"/>
                <w:sz w:val="18"/>
              </w:rPr>
              <w:t>₹1,00,000 (₹1 Lakh) per stock</w:t>
            </w:r>
          </w:p>
        </w:tc>
      </w:tr>
      <w:tr>
        <w:tc>
          <w:tcPr>
            <w:tcW w:type="dxa" w:w="3600"/>
            <w:shd w:val="clear" w:color="auto" w:fill="FFFFFF"/>
          </w:tcPr>
          <w:p>
            <w:pPr>
              <w:jc w:val="center"/>
            </w:pPr>
            <w:r>
              <w:rPr>
                <w:rFonts w:ascii="Calibri" w:hAnsi="Calibri"/>
                <w:sz w:val="18"/>
              </w:rPr>
              <w:t>6 or more signals</w:t>
            </w:r>
          </w:p>
        </w:tc>
        <w:tc>
          <w:tcPr>
            <w:tcW w:type="dxa" w:w="5760"/>
            <w:shd w:val="clear" w:color="auto" w:fill="FFFFFF"/>
          </w:tcPr>
          <w:p>
            <w:pPr>
              <w:jc w:val="center"/>
            </w:pPr>
            <w:r>
              <w:rPr>
                <w:rFonts w:ascii="Calibri" w:hAnsi="Calibri"/>
                <w:sz w:val="18"/>
              </w:rPr>
              <w:t>₹5,00,000 ÷ number of signals  (split equally, capped at ₹1L each)</w:t>
            </w:r>
          </w:p>
        </w:tc>
      </w:tr>
    </w:tbl>
    <w:p/>
    <w:p>
      <w:pPr>
        <w:spacing w:before="20" w:after="60"/>
      </w:pPr>
      <w:r>
        <w:rPr>
          <w:rFonts w:ascii="Calibri" w:hAnsi="Calibri"/>
          <w:b/>
          <w:i w:val="0"/>
          <w:color w:val="000000"/>
          <w:sz w:val="20"/>
        </w:rPr>
        <w:t>Shares to buy:</w:t>
      </w:r>
    </w:p>
    <w:p>
      <w:pPr>
        <w:spacing w:before="60" w:after="60"/>
        <w:ind w:left="850"/>
      </w:pPr>
      <w:r>
        <w:rPr>
          <w:rFonts w:ascii="Courier New" w:hAnsi="Courier New"/>
          <w:color w:val="193A64"/>
          <w:sz w:val="19"/>
        </w:rPr>
        <w:t>shares = FLOOR( capital_allocated ÷ entry_price )</w:t>
      </w:r>
    </w:p>
    <w:p>
      <w:pPr>
        <w:spacing w:before="20" w:after="60"/>
      </w:pPr>
      <w:r>
        <w:rPr>
          <w:rFonts w:ascii="Calibri" w:hAnsi="Calibri"/>
          <w:b w:val="0"/>
          <w:i w:val="0"/>
          <w:color w:val="000000"/>
          <w:sz w:val="20"/>
        </w:rPr>
        <w:t>Floor means you always round down to whole shares. You never buy fractional shares.</w:t>
      </w:r>
    </w:p>
    <w:p/>
    <w:p>
      <w:pPr>
        <w:spacing w:before="20" w:after="60"/>
      </w:pPr>
      <w:r>
        <w:rPr>
          <w:rFonts w:ascii="Calibri" w:hAnsi="Calibri"/>
          <w:b w:val="0"/>
          <w:i w:val="0"/>
          <w:color w:val="000000"/>
          <w:sz w:val="20"/>
        </w:rPr>
        <w:t>July 14, 2026 — Position Sizing (4 signals → ₹1L each):</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296"/>
            <w:shd w:val="clear" w:color="auto" w:fill="2E74B5"/>
          </w:tcPr>
          <w:p>
            <w:pPr>
              <w:jc w:val="center"/>
            </w:pPr>
            <w:r>
              <w:rPr>
                <w:rFonts w:ascii="Calibri" w:hAnsi="Calibri"/>
                <w:b/>
                <w:color w:val="FFFFFF"/>
                <w:sz w:val="18"/>
              </w:rPr>
              <w:t>Symbol</w:t>
            </w:r>
          </w:p>
        </w:tc>
        <w:tc>
          <w:tcPr>
            <w:tcW w:type="dxa" w:w="1296"/>
            <w:shd w:val="clear" w:color="auto" w:fill="2E74B5"/>
          </w:tcPr>
          <w:p>
            <w:pPr>
              <w:jc w:val="center"/>
            </w:pPr>
            <w:r>
              <w:rPr>
                <w:rFonts w:ascii="Calibri" w:hAnsi="Calibri"/>
                <w:b/>
                <w:color w:val="FFFFFF"/>
                <w:sz w:val="18"/>
              </w:rPr>
              <w:t>Entry Price</w:t>
            </w:r>
          </w:p>
        </w:tc>
        <w:tc>
          <w:tcPr>
            <w:tcW w:type="dxa" w:w="1296"/>
            <w:shd w:val="clear" w:color="auto" w:fill="2E74B5"/>
          </w:tcPr>
          <w:p>
            <w:pPr>
              <w:jc w:val="center"/>
            </w:pPr>
            <w:r>
              <w:rPr>
                <w:rFonts w:ascii="Calibri" w:hAnsi="Calibri"/>
                <w:b/>
                <w:color w:val="FFFFFF"/>
                <w:sz w:val="18"/>
              </w:rPr>
              <w:t>Capital</w:t>
            </w:r>
          </w:p>
        </w:tc>
        <w:tc>
          <w:tcPr>
            <w:tcW w:type="dxa" w:w="3888"/>
            <w:shd w:val="clear" w:color="auto" w:fill="2E74B5"/>
          </w:tcPr>
          <w:p>
            <w:pPr>
              <w:jc w:val="center"/>
            </w:pPr>
            <w:r>
              <w:rPr>
                <w:rFonts w:ascii="Calibri" w:hAnsi="Calibri"/>
                <w:b/>
                <w:color w:val="FFFFFF"/>
                <w:sz w:val="18"/>
              </w:rPr>
              <w:t>Calculation</w:t>
            </w:r>
          </w:p>
        </w:tc>
        <w:tc>
          <w:tcPr>
            <w:tcW w:type="dxa" w:w="1440"/>
            <w:shd w:val="clear" w:color="auto" w:fill="2E74B5"/>
          </w:tcPr>
          <w:p>
            <w:pPr>
              <w:jc w:val="center"/>
            </w:pPr>
            <w:r>
              <w:rPr>
                <w:rFonts w:ascii="Calibri" w:hAnsi="Calibri"/>
                <w:b/>
                <w:color w:val="FFFFFF"/>
                <w:sz w:val="18"/>
              </w:rPr>
              <w:t>Shares Bought</w:t>
            </w:r>
          </w:p>
        </w:tc>
        <w:tc>
          <w:tcPr>
            <w:tcW w:type="dxa" w:w="1584"/>
            <w:shd w:val="clear" w:color="auto" w:fill="2E74B5"/>
          </w:tcPr>
          <w:p>
            <w:pPr>
              <w:jc w:val="center"/>
            </w:pPr>
            <w:r>
              <w:rPr>
                <w:rFonts w:ascii="Calibri" w:hAnsi="Calibri"/>
                <w:b/>
                <w:color w:val="FFFFFF"/>
                <w:sz w:val="18"/>
              </w:rPr>
              <w:t>Actual Capital Used</w:t>
            </w:r>
          </w:p>
        </w:tc>
      </w:tr>
      <w:tr>
        <w:tc>
          <w:tcPr>
            <w:tcW w:type="dxa" w:w="1296"/>
            <w:shd w:val="clear" w:color="auto" w:fill="EAF2FF"/>
          </w:tcPr>
          <w:p>
            <w:pPr>
              <w:jc w:val="center"/>
            </w:pPr>
            <w:r>
              <w:rPr>
                <w:rFonts w:ascii="Calibri" w:hAnsi="Calibri"/>
                <w:sz w:val="18"/>
              </w:rPr>
              <w:t>DYCL</w:t>
            </w:r>
          </w:p>
        </w:tc>
        <w:tc>
          <w:tcPr>
            <w:tcW w:type="dxa" w:w="1296"/>
            <w:shd w:val="clear" w:color="auto" w:fill="EAF2FF"/>
          </w:tcPr>
          <w:p>
            <w:pPr>
              <w:jc w:val="center"/>
            </w:pPr>
            <w:r>
              <w:rPr>
                <w:rFonts w:ascii="Calibri" w:hAnsi="Calibri"/>
                <w:sz w:val="18"/>
              </w:rPr>
              <w:t>₹389.15</w:t>
            </w:r>
          </w:p>
        </w:tc>
        <w:tc>
          <w:tcPr>
            <w:tcW w:type="dxa" w:w="1296"/>
            <w:shd w:val="clear" w:color="auto" w:fill="EAF2FF"/>
          </w:tcPr>
          <w:p>
            <w:pPr>
              <w:jc w:val="center"/>
            </w:pPr>
            <w:r>
              <w:rPr>
                <w:rFonts w:ascii="Calibri" w:hAnsi="Calibri"/>
                <w:sz w:val="18"/>
              </w:rPr>
              <w:t>₹1,00,000</w:t>
            </w:r>
          </w:p>
        </w:tc>
        <w:tc>
          <w:tcPr>
            <w:tcW w:type="dxa" w:w="3888"/>
            <w:shd w:val="clear" w:color="auto" w:fill="EAF2FF"/>
          </w:tcPr>
          <w:p>
            <w:pPr>
              <w:jc w:val="center"/>
            </w:pPr>
            <w:r>
              <w:rPr>
                <w:rFonts w:ascii="Calibri" w:hAnsi="Calibri"/>
                <w:sz w:val="18"/>
              </w:rPr>
              <w:t>floor(1,00,000 ÷ 389.15) = floor(256.98)</w:t>
            </w:r>
          </w:p>
        </w:tc>
        <w:tc>
          <w:tcPr>
            <w:tcW w:type="dxa" w:w="1440"/>
            <w:shd w:val="clear" w:color="auto" w:fill="EAF2FF"/>
          </w:tcPr>
          <w:p>
            <w:pPr>
              <w:jc w:val="center"/>
            </w:pPr>
            <w:r>
              <w:rPr>
                <w:rFonts w:ascii="Calibri" w:hAnsi="Calibri"/>
                <w:sz w:val="18"/>
              </w:rPr>
              <w:t>256 shares</w:t>
            </w:r>
          </w:p>
        </w:tc>
        <w:tc>
          <w:tcPr>
            <w:tcW w:type="dxa" w:w="1584"/>
            <w:shd w:val="clear" w:color="auto" w:fill="EAF2FF"/>
          </w:tcPr>
          <w:p>
            <w:pPr>
              <w:jc w:val="center"/>
            </w:pPr>
            <w:r>
              <w:rPr>
                <w:rFonts w:ascii="Calibri" w:hAnsi="Calibri"/>
                <w:sz w:val="18"/>
              </w:rPr>
              <w:t>₹99,622</w:t>
            </w:r>
          </w:p>
        </w:tc>
      </w:tr>
      <w:tr>
        <w:tc>
          <w:tcPr>
            <w:tcW w:type="dxa" w:w="1296"/>
            <w:shd w:val="clear" w:color="auto" w:fill="FFFFFF"/>
          </w:tcPr>
          <w:p>
            <w:pPr>
              <w:jc w:val="center"/>
            </w:pPr>
            <w:r>
              <w:rPr>
                <w:rFonts w:ascii="Calibri" w:hAnsi="Calibri"/>
                <w:sz w:val="18"/>
              </w:rPr>
              <w:t>HGS</w:t>
            </w:r>
          </w:p>
        </w:tc>
        <w:tc>
          <w:tcPr>
            <w:tcW w:type="dxa" w:w="1296"/>
            <w:shd w:val="clear" w:color="auto" w:fill="FFFFFF"/>
          </w:tcPr>
          <w:p>
            <w:pPr>
              <w:jc w:val="center"/>
            </w:pPr>
            <w:r>
              <w:rPr>
                <w:rFonts w:ascii="Calibri" w:hAnsi="Calibri"/>
                <w:sz w:val="18"/>
              </w:rPr>
              <w:t>₹455.90</w:t>
            </w:r>
          </w:p>
        </w:tc>
        <w:tc>
          <w:tcPr>
            <w:tcW w:type="dxa" w:w="1296"/>
            <w:shd w:val="clear" w:color="auto" w:fill="FFFFFF"/>
          </w:tcPr>
          <w:p>
            <w:pPr>
              <w:jc w:val="center"/>
            </w:pPr>
            <w:r>
              <w:rPr>
                <w:rFonts w:ascii="Calibri" w:hAnsi="Calibri"/>
                <w:sz w:val="18"/>
              </w:rPr>
              <w:t>₹1,00,000</w:t>
            </w:r>
          </w:p>
        </w:tc>
        <w:tc>
          <w:tcPr>
            <w:tcW w:type="dxa" w:w="3888"/>
            <w:shd w:val="clear" w:color="auto" w:fill="FFFFFF"/>
          </w:tcPr>
          <w:p>
            <w:pPr>
              <w:jc w:val="center"/>
            </w:pPr>
            <w:r>
              <w:rPr>
                <w:rFonts w:ascii="Calibri" w:hAnsi="Calibri"/>
                <w:sz w:val="18"/>
              </w:rPr>
              <w:t>floor(1,00,000 ÷ 455.90) = floor(219.35)</w:t>
            </w:r>
          </w:p>
        </w:tc>
        <w:tc>
          <w:tcPr>
            <w:tcW w:type="dxa" w:w="1440"/>
            <w:shd w:val="clear" w:color="auto" w:fill="FFFFFF"/>
          </w:tcPr>
          <w:p>
            <w:pPr>
              <w:jc w:val="center"/>
            </w:pPr>
            <w:r>
              <w:rPr>
                <w:rFonts w:ascii="Calibri" w:hAnsi="Calibri"/>
                <w:sz w:val="18"/>
              </w:rPr>
              <w:t>219 shares</w:t>
            </w:r>
          </w:p>
        </w:tc>
        <w:tc>
          <w:tcPr>
            <w:tcW w:type="dxa" w:w="1584"/>
            <w:shd w:val="clear" w:color="auto" w:fill="FFFFFF"/>
          </w:tcPr>
          <w:p>
            <w:pPr>
              <w:jc w:val="center"/>
            </w:pPr>
            <w:r>
              <w:rPr>
                <w:rFonts w:ascii="Calibri" w:hAnsi="Calibri"/>
                <w:sz w:val="18"/>
              </w:rPr>
              <w:t>₹99,842</w:t>
            </w:r>
          </w:p>
        </w:tc>
      </w:tr>
      <w:tr>
        <w:tc>
          <w:tcPr>
            <w:tcW w:type="dxa" w:w="1296"/>
            <w:shd w:val="clear" w:color="auto" w:fill="EAF2FF"/>
          </w:tcPr>
          <w:p>
            <w:pPr>
              <w:jc w:val="center"/>
            </w:pPr>
            <w:r>
              <w:rPr>
                <w:rFonts w:ascii="Calibri" w:hAnsi="Calibri"/>
                <w:sz w:val="18"/>
              </w:rPr>
              <w:t>LANDMARK</w:t>
            </w:r>
          </w:p>
        </w:tc>
        <w:tc>
          <w:tcPr>
            <w:tcW w:type="dxa" w:w="1296"/>
            <w:shd w:val="clear" w:color="auto" w:fill="EAF2FF"/>
          </w:tcPr>
          <w:p>
            <w:pPr>
              <w:jc w:val="center"/>
            </w:pPr>
            <w:r>
              <w:rPr>
                <w:rFonts w:ascii="Calibri" w:hAnsi="Calibri"/>
                <w:sz w:val="18"/>
              </w:rPr>
              <w:t>₹490.95</w:t>
            </w:r>
          </w:p>
        </w:tc>
        <w:tc>
          <w:tcPr>
            <w:tcW w:type="dxa" w:w="1296"/>
            <w:shd w:val="clear" w:color="auto" w:fill="EAF2FF"/>
          </w:tcPr>
          <w:p>
            <w:pPr>
              <w:jc w:val="center"/>
            </w:pPr>
            <w:r>
              <w:rPr>
                <w:rFonts w:ascii="Calibri" w:hAnsi="Calibri"/>
                <w:sz w:val="18"/>
              </w:rPr>
              <w:t>₹1,00,000</w:t>
            </w:r>
          </w:p>
        </w:tc>
        <w:tc>
          <w:tcPr>
            <w:tcW w:type="dxa" w:w="3888"/>
            <w:shd w:val="clear" w:color="auto" w:fill="EAF2FF"/>
          </w:tcPr>
          <w:p>
            <w:pPr>
              <w:jc w:val="center"/>
            </w:pPr>
            <w:r>
              <w:rPr>
                <w:rFonts w:ascii="Calibri" w:hAnsi="Calibri"/>
                <w:sz w:val="18"/>
              </w:rPr>
              <w:t>floor(1,00,000 ÷ 490.95) = floor(203.69)</w:t>
            </w:r>
          </w:p>
        </w:tc>
        <w:tc>
          <w:tcPr>
            <w:tcW w:type="dxa" w:w="1440"/>
            <w:shd w:val="clear" w:color="auto" w:fill="EAF2FF"/>
          </w:tcPr>
          <w:p>
            <w:pPr>
              <w:jc w:val="center"/>
            </w:pPr>
            <w:r>
              <w:rPr>
                <w:rFonts w:ascii="Calibri" w:hAnsi="Calibri"/>
                <w:sz w:val="18"/>
              </w:rPr>
              <w:t>203 shares</w:t>
            </w:r>
          </w:p>
        </w:tc>
        <w:tc>
          <w:tcPr>
            <w:tcW w:type="dxa" w:w="1584"/>
            <w:shd w:val="clear" w:color="auto" w:fill="EAF2FF"/>
          </w:tcPr>
          <w:p>
            <w:pPr>
              <w:jc w:val="center"/>
            </w:pPr>
            <w:r>
              <w:rPr>
                <w:rFonts w:ascii="Calibri" w:hAnsi="Calibri"/>
                <w:sz w:val="18"/>
              </w:rPr>
              <w:t>₹99,662</w:t>
            </w:r>
          </w:p>
        </w:tc>
      </w:tr>
      <w:tr>
        <w:tc>
          <w:tcPr>
            <w:tcW w:type="dxa" w:w="1296"/>
            <w:shd w:val="clear" w:color="auto" w:fill="FFFFFF"/>
          </w:tcPr>
          <w:p>
            <w:pPr>
              <w:jc w:val="center"/>
            </w:pPr>
            <w:r>
              <w:rPr>
                <w:rFonts w:ascii="Calibri" w:hAnsi="Calibri"/>
                <w:sz w:val="18"/>
              </w:rPr>
              <w:t>TCPLPACK</w:t>
            </w:r>
          </w:p>
        </w:tc>
        <w:tc>
          <w:tcPr>
            <w:tcW w:type="dxa" w:w="1296"/>
            <w:shd w:val="clear" w:color="auto" w:fill="FFFFFF"/>
          </w:tcPr>
          <w:p>
            <w:pPr>
              <w:jc w:val="center"/>
            </w:pPr>
            <w:r>
              <w:rPr>
                <w:rFonts w:ascii="Calibri" w:hAnsi="Calibri"/>
                <w:sz w:val="18"/>
              </w:rPr>
              <w:t>₹3,203.00</w:t>
            </w:r>
          </w:p>
        </w:tc>
        <w:tc>
          <w:tcPr>
            <w:tcW w:type="dxa" w:w="1296"/>
            <w:shd w:val="clear" w:color="auto" w:fill="FFFFFF"/>
          </w:tcPr>
          <w:p>
            <w:pPr>
              <w:jc w:val="center"/>
            </w:pPr>
            <w:r>
              <w:rPr>
                <w:rFonts w:ascii="Calibri" w:hAnsi="Calibri"/>
                <w:sz w:val="18"/>
              </w:rPr>
              <w:t>₹1,00,000</w:t>
            </w:r>
          </w:p>
        </w:tc>
        <w:tc>
          <w:tcPr>
            <w:tcW w:type="dxa" w:w="3888"/>
            <w:shd w:val="clear" w:color="auto" w:fill="FFFFFF"/>
          </w:tcPr>
          <w:p>
            <w:pPr>
              <w:jc w:val="center"/>
            </w:pPr>
            <w:r>
              <w:rPr>
                <w:rFonts w:ascii="Calibri" w:hAnsi="Calibri"/>
                <w:sz w:val="18"/>
              </w:rPr>
              <w:t>floor(1,00,000 ÷ 3,203.00) = floor(31.22)</w:t>
            </w:r>
          </w:p>
        </w:tc>
        <w:tc>
          <w:tcPr>
            <w:tcW w:type="dxa" w:w="1440"/>
            <w:shd w:val="clear" w:color="auto" w:fill="FFFFFF"/>
          </w:tcPr>
          <w:p>
            <w:pPr>
              <w:jc w:val="center"/>
            </w:pPr>
            <w:r>
              <w:rPr>
                <w:rFonts w:ascii="Calibri" w:hAnsi="Calibri"/>
                <w:sz w:val="18"/>
              </w:rPr>
              <w:t xml:space="preserve"> 31 shares</w:t>
            </w:r>
          </w:p>
        </w:tc>
        <w:tc>
          <w:tcPr>
            <w:tcW w:type="dxa" w:w="1584"/>
            <w:shd w:val="clear" w:color="auto" w:fill="FFFFFF"/>
          </w:tcPr>
          <w:p>
            <w:pPr>
              <w:jc w:val="center"/>
            </w:pPr>
            <w:r>
              <w:rPr>
                <w:rFonts w:ascii="Calibri" w:hAnsi="Calibri"/>
                <w:sz w:val="18"/>
              </w:rPr>
              <w:t>₹99,293</w:t>
            </w:r>
          </w:p>
        </w:tc>
      </w:tr>
    </w:tbl>
    <w:p>
      <w:pPr>
        <w:spacing w:before="80" w:after="80"/>
        <w:ind w:left="283" w:right="283"/>
        <w:shd w:val="clear" w:color="auto" w:fill="FFF2CC"/>
      </w:pPr>
      <w:r>
        <w:rPr>
          <w:rFonts w:ascii="Calibri" w:hAnsi="Calibri"/>
          <w:color w:val="4A3B00"/>
          <w:sz w:val="18"/>
        </w:rPr>
        <w:t xml:space="preserve">  NOTE:  Capital is NOT compounded. Each day's allocation is fixed regardless of whether previous trades made or lost money. This is a deliberate design choice to make the return percentages comparable across time and to avoid exponential blowup during a winning streak.  </w:t>
      </w:r>
    </w:p>
    <w:p/>
    <w:p>
      <w:pPr>
        <w:spacing w:before="320" w:after="80"/>
        <w:ind w:left="0"/>
        <w:pBdr>
          <w:bottom w:val="single" w:sz="6" w:space="1" w:color="2E74B5"/>
        </w:pBdr>
      </w:pPr>
      <w:r>
        <w:rPr>
          <w:rFonts w:ascii="Calibri" w:hAnsi="Calibri"/>
          <w:b/>
          <w:color w:val="1F497D"/>
          <w:sz w:val="32"/>
        </w:rPr>
        <w:t>6. Exit Strategies</w:t>
      </w:r>
    </w:p>
    <w:p>
      <w:pPr>
        <w:spacing w:before="20" w:after="60"/>
      </w:pPr>
      <w:r>
        <w:rPr>
          <w:rFonts w:ascii="Calibri" w:hAnsi="Calibri"/>
          <w:b w:val="0"/>
          <w:i w:val="0"/>
          <w:color w:val="000000"/>
          <w:sz w:val="20"/>
        </w:rPr>
        <w:t>Three exit approaches are backtested. In practice you would pick one approach and apply it consistently.</w:t>
      </w:r>
    </w:p>
    <w:p>
      <w:pPr>
        <w:spacing w:before="200" w:after="40"/>
      </w:pPr>
      <w:r>
        <w:rPr>
          <w:rFonts w:ascii="Calibri" w:hAnsi="Calibri"/>
          <w:b/>
          <w:color w:val="2E74B5"/>
          <w:sz w:val="26"/>
        </w:rPr>
        <w:t>Strategy 1 — Standard Exit (100% at next-day 3:00 PM)</w:t>
      </w:r>
    </w:p>
    <w:p>
      <w:pPr>
        <w:spacing w:before="20" w:after="60"/>
      </w:pPr>
      <w:r>
        <w:rPr>
          <w:rFonts w:ascii="Calibri" w:hAnsi="Calibri"/>
          <w:b w:val="0"/>
          <w:i w:val="0"/>
          <w:color w:val="000000"/>
          <w:sz w:val="20"/>
        </w:rPr>
        <w:t>Hold the full position overnight. Sell 100% at the open of the next day's 15:00 candle (3:00 PM open).</w:t>
      </w:r>
    </w:p>
    <w:p>
      <w:pPr>
        <w:spacing w:before="60" w:after="60"/>
        <w:ind w:left="850"/>
      </w:pPr>
      <w:r>
        <w:rPr>
          <w:rFonts w:ascii="Courier New" w:hAnsi="Courier New"/>
          <w:color w:val="193A64"/>
          <w:sz w:val="19"/>
        </w:rPr>
        <w:t>PnL per share = exit_price_3pm_next_day − entry_price_315pm</w:t>
      </w:r>
    </w:p>
    <w:p>
      <w:pPr>
        <w:spacing w:before="60" w:after="60"/>
        <w:ind w:left="850"/>
      </w:pPr>
      <w:r>
        <w:rPr>
          <w:rFonts w:ascii="Courier New" w:hAnsi="Courier New"/>
          <w:color w:val="193A64"/>
          <w:sz w:val="19"/>
        </w:rPr>
        <w:t>Trade return% = (exit − entry) ÷ entry × 100</w:t>
      </w:r>
    </w:p>
    <w:p/>
    <w:p>
      <w:pPr>
        <w:spacing w:before="200" w:after="40"/>
      </w:pPr>
      <w:r>
        <w:rPr>
          <w:rFonts w:ascii="Calibri" w:hAnsi="Calibri"/>
          <w:b/>
          <w:color w:val="2E74B5"/>
          <w:sz w:val="26"/>
        </w:rPr>
        <w:t>Strategy 2 — Split Exit (50% at 9:45 + 50% at 11:00)</w:t>
      </w:r>
    </w:p>
    <w:p>
      <w:pPr>
        <w:spacing w:before="20" w:after="60"/>
      </w:pPr>
      <w:r>
        <w:rPr>
          <w:rFonts w:ascii="Calibri" w:hAnsi="Calibri"/>
          <w:b w:val="0"/>
          <w:i w:val="0"/>
          <w:color w:val="000000"/>
          <w:sz w:val="20"/>
        </w:rPr>
        <w:t>Split the position in two: sell half at the open of the 09:45 candle next morning, and the remaining half at the open of the 11:00 candle next morning. This reduces timing risk — if the stock gaps up at open but reverses by 11am, you still captured some of the open-gap profit.</w:t>
      </w:r>
    </w:p>
    <w:p>
      <w:pPr>
        <w:spacing w:before="60" w:after="60"/>
        <w:ind w:left="850"/>
      </w:pPr>
      <w:r>
        <w:rPr>
          <w:rFonts w:ascii="Courier New" w:hAnsi="Courier New"/>
          <w:color w:val="193A64"/>
          <w:sz w:val="19"/>
        </w:rPr>
        <w:t>shares_leg1 = FLOOR(total_shares ÷ 2)</w:t>
      </w:r>
    </w:p>
    <w:p>
      <w:pPr>
        <w:spacing w:before="60" w:after="60"/>
        <w:ind w:left="850"/>
      </w:pPr>
      <w:r>
        <w:rPr>
          <w:rFonts w:ascii="Courier New" w:hAnsi="Courier New"/>
          <w:color w:val="193A64"/>
          <w:sz w:val="19"/>
        </w:rPr>
        <w:t>shares_leg2 = total_shares − shares_leg1</w:t>
      </w:r>
    </w:p>
    <w:p>
      <w:pPr>
        <w:spacing w:before="60" w:after="60"/>
        <w:ind w:left="850"/>
      </w:pPr>
      <w:r>
        <w:rPr>
          <w:rFonts w:ascii="Courier New" w:hAnsi="Courier New"/>
          <w:color w:val="193A64"/>
          <w:sz w:val="19"/>
        </w:rPr>
        <w:t>PnL = shares_leg1 × (open_945 − entry) + shares_leg2 × (open_1100 − entry)</w:t>
      </w:r>
    </w:p>
    <w:p>
      <w:pPr>
        <w:spacing w:before="60" w:after="60"/>
        <w:ind w:left="850"/>
      </w:pPr>
      <w:r>
        <w:rPr>
          <w:rFonts w:ascii="Courier New" w:hAnsi="Courier New"/>
          <w:color w:val="193A64"/>
          <w:sz w:val="19"/>
        </w:rPr>
        <w:t>Return% = 0.5 × (open_945 − entry)/entry × 100</w:t>
      </w:r>
    </w:p>
    <w:p>
      <w:pPr>
        <w:spacing w:before="60" w:after="60"/>
        <w:ind w:left="850"/>
      </w:pPr>
      <w:r>
        <w:rPr>
          <w:rFonts w:ascii="Courier New" w:hAnsi="Courier New"/>
          <w:color w:val="193A64"/>
          <w:sz w:val="19"/>
        </w:rPr>
        <w:t xml:space="preserve">        + 0.5 × (open_1100 − entry)/entry × 100</w:t>
      </w:r>
    </w:p>
    <w:p/>
    <w:p>
      <w:pPr>
        <w:spacing w:before="80" w:after="80"/>
        <w:ind w:left="283" w:right="283"/>
        <w:shd w:val="clear" w:color="auto" w:fill="FFF2CC"/>
      </w:pPr>
      <w:r>
        <w:rPr>
          <w:rFonts w:ascii="Calibri" w:hAnsi="Calibri"/>
          <w:color w:val="4A3B00"/>
          <w:sz w:val="18"/>
        </w:rPr>
        <w:t xml:space="preserve">  NOTE:  The backtest results show: LB=36, VM=6, Split Exit → 3,497 trades, total return +787.85%, win rate ~65%. Adding the fade ≤5% filter reduces trades to 2,802 but improves total return to +824.37% with lower drawdown.  </w:t>
      </w:r>
    </w:p>
    <w:p/>
    <w:p>
      <w:pPr>
        <w:spacing w:before="200" w:after="40"/>
      </w:pPr>
      <w:r>
        <w:rPr>
          <w:rFonts w:ascii="Calibri" w:hAnsi="Calibri"/>
          <w:b/>
          <w:color w:val="2E74B5"/>
          <w:sz w:val="26"/>
        </w:rPr>
        <w:t>Strategy 3 — Split + 5% Stop Loss on Second Leg</w:t>
      </w:r>
    </w:p>
    <w:p>
      <w:pPr>
        <w:spacing w:before="20" w:after="60"/>
      </w:pPr>
      <w:r>
        <w:rPr>
          <w:rFonts w:ascii="Calibri" w:hAnsi="Calibri"/>
          <w:b w:val="0"/>
          <w:i w:val="0"/>
          <w:color w:val="000000"/>
          <w:sz w:val="20"/>
        </w:rPr>
        <w:t>Same as Strategy 2 for the first half. For the second half, a 5% stop-loss is set from the entry price. The stop is checked candle-by-candle starting from the 3:15 PM entry candle on the entry day, through every 15-minute candle up to next-day 3:00 PM.</w:t>
      </w:r>
    </w:p>
    <w:p>
      <w:pPr>
        <w:spacing w:before="60" w:after="60"/>
        <w:ind w:left="850"/>
      </w:pPr>
      <w:r>
        <w:rPr>
          <w:rFonts w:ascii="Courier New" w:hAnsi="Courier New"/>
          <w:color w:val="193A64"/>
          <w:sz w:val="19"/>
        </w:rPr>
        <w:t>sl_price = entry_price × 0.95   (5% below entry)</w:t>
      </w:r>
    </w:p>
    <w:p>
      <w:pPr>
        <w:spacing w:before="60" w:after="60"/>
        <w:ind w:left="850"/>
      </w:pPr>
      <w:r>
        <w:rPr>
          <w:rFonts w:ascii="Courier New" w:hAnsi="Courier New"/>
          <w:color w:val="193A64"/>
          <w:sz w:val="19"/>
        </w:rPr>
        <w:t>If any candle's LOW ≤ sl_price  →  exit leg 2 at sl_price</w:t>
      </w:r>
    </w:p>
    <w:p>
      <w:pPr>
        <w:spacing w:before="60" w:after="60"/>
        <w:ind w:left="850"/>
      </w:pPr>
      <w:r>
        <w:rPr>
          <w:rFonts w:ascii="Courier New" w:hAnsi="Courier New"/>
          <w:color w:val="193A64"/>
          <w:sz w:val="19"/>
        </w:rPr>
        <w:t>Otherwise                        →  exit leg 2 at next-day 3:00 PM open</w:t>
      </w:r>
    </w:p>
    <w:p>
      <w:pPr>
        <w:spacing w:before="20" w:after="60"/>
      </w:pPr>
      <w:r>
        <w:rPr>
          <w:rFonts w:ascii="Calibri" w:hAnsi="Calibri"/>
          <w:b w:val="0"/>
          <w:i w:val="0"/>
          <w:color w:val="000000"/>
          <w:sz w:val="20"/>
        </w:rPr>
        <w:t>Note: the stop-loss on the second leg has historically hurt returns in the backtest — the strategy's edge comes from holding overnight, and the SL cuts that short more often than it protects against large losses.</w:t>
      </w:r>
    </w:p>
    <w:p/>
    <w:p>
      <w:pPr>
        <w:spacing w:before="320" w:after="80"/>
        <w:ind w:left="0"/>
        <w:pBdr>
          <w:bottom w:val="single" w:sz="6" w:space="1" w:color="2E74B5"/>
        </w:pBdr>
      </w:pPr>
      <w:r>
        <w:rPr>
          <w:rFonts w:ascii="Calibri" w:hAnsi="Calibri"/>
          <w:b/>
          <w:color w:val="1F497D"/>
          <w:sz w:val="32"/>
        </w:rPr>
        <w:t>7. How Returns Are Calculated (Non-Compounding)</w:t>
      </w:r>
    </w:p>
    <w:p>
      <w:pPr>
        <w:spacing w:before="20" w:after="60"/>
      </w:pPr>
      <w:r>
        <w:rPr>
          <w:rFonts w:ascii="Calibri" w:hAnsi="Calibri"/>
          <w:b w:val="0"/>
          <w:i w:val="0"/>
          <w:color w:val="000000"/>
          <w:sz w:val="20"/>
        </w:rPr>
        <w:t>The total return figure in the backtest is a non-compounding sum. This is different from CAGR or compounded returns — it avoids the distortion of early gains amplifying later gains, making the returns directly comparable across years.</w:t>
      </w:r>
    </w:p>
    <w:p>
      <w:pPr>
        <w:spacing w:before="200" w:after="40"/>
      </w:pPr>
      <w:r>
        <w:rPr>
          <w:rFonts w:ascii="Calibri" w:hAnsi="Calibri"/>
          <w:b/>
          <w:color w:val="2E74B5"/>
          <w:sz w:val="26"/>
        </w:rPr>
        <w:t>Daily Return</w:t>
      </w:r>
    </w:p>
    <w:p>
      <w:pPr>
        <w:spacing w:before="60" w:after="60"/>
        <w:ind w:left="850"/>
      </w:pPr>
      <w:r>
        <w:rPr>
          <w:rFonts w:ascii="Courier New" w:hAnsi="Courier New"/>
          <w:color w:val="193A64"/>
          <w:sz w:val="19"/>
        </w:rPr>
        <w:t>daily_return% = total_PnL_on_day ÷ total_capital_deployed_on_day × 100</w:t>
      </w:r>
    </w:p>
    <w:p>
      <w:pPr>
        <w:spacing w:before="20" w:after="60"/>
      </w:pPr>
      <w:r>
        <w:rPr>
          <w:rFonts w:ascii="Calibri" w:hAnsi="Calibri"/>
          <w:b w:val="0"/>
          <w:i w:val="0"/>
          <w:color w:val="000000"/>
          <w:sz w:val="20"/>
        </w:rPr>
        <w:t>total_PnL_on_day = sum of PnL from all trades that day</w:t>
        <w:br/>
        <w:t>total_capital_deployed_on_day = sum of (entry_price × shares) for all trades that day</w:t>
      </w:r>
    </w:p>
    <w:p>
      <w:pPr>
        <w:spacing w:before="200" w:after="40"/>
      </w:pPr>
      <w:r>
        <w:rPr>
          <w:rFonts w:ascii="Calibri" w:hAnsi="Calibri"/>
          <w:b/>
          <w:color w:val="2E74B5"/>
          <w:sz w:val="26"/>
        </w:rPr>
        <w:t>Total Return</w:t>
      </w:r>
    </w:p>
    <w:p>
      <w:pPr>
        <w:spacing w:before="60" w:after="60"/>
        <w:ind w:left="850"/>
      </w:pPr>
      <w:r>
        <w:rPr>
          <w:rFonts w:ascii="Courier New" w:hAnsi="Courier New"/>
          <w:color w:val="193A64"/>
          <w:sz w:val="19"/>
        </w:rPr>
        <w:t>total_return% = SUM of all daily_return%  (arithmetic, not geometric)</w:t>
      </w:r>
    </w:p>
    <w:p>
      <w:pPr>
        <w:spacing w:before="20" w:after="60"/>
      </w:pPr>
      <w:r>
        <w:rPr>
          <w:rFonts w:ascii="Calibri" w:hAnsi="Calibri"/>
          <w:b w:val="0"/>
          <w:i w:val="0"/>
          <w:color w:val="000000"/>
          <w:sz w:val="20"/>
        </w:rPr>
        <w:t>If you have 100 trading days each returning +1%, total return = +100%, not (1.01^100 - 1) = 170%. This is conservative and avoids overstating performance.</w:t>
      </w:r>
    </w:p>
    <w:p>
      <w:pPr>
        <w:spacing w:before="200" w:after="40"/>
      </w:pPr>
      <w:r>
        <w:rPr>
          <w:rFonts w:ascii="Calibri" w:hAnsi="Calibri"/>
          <w:b/>
          <w:color w:val="2E74B5"/>
          <w:sz w:val="26"/>
        </w:rPr>
        <w:t>Maximum Drawdown</w:t>
      </w:r>
    </w:p>
    <w:p>
      <w:pPr>
        <w:spacing w:before="20" w:after="60"/>
      </w:pPr>
      <w:r>
        <w:rPr>
          <w:rFonts w:ascii="Calibri" w:hAnsi="Calibri"/>
          <w:b w:val="0"/>
          <w:i w:val="0"/>
          <w:color w:val="000000"/>
          <w:sz w:val="20"/>
        </w:rPr>
        <w:t>A single continuous equity curve is maintained from day 1 to the last day. It starts at ₹5,00,000 and cumulative PnL (in rupees) is added each day — it is never reset between years or periods.</w:t>
      </w:r>
    </w:p>
    <w:p>
      <w:pPr>
        <w:spacing w:before="60" w:after="60"/>
        <w:ind w:left="850"/>
      </w:pPr>
      <w:r>
        <w:rPr>
          <w:rFonts w:ascii="Courier New" w:hAnsi="Courier New"/>
          <w:color w:val="193A64"/>
          <w:sz w:val="19"/>
        </w:rPr>
        <w:t>equity_curve[t] = ₹5,00,000 + cumulative_PnL[t]</w:t>
      </w:r>
    </w:p>
    <w:p>
      <w:pPr>
        <w:spacing w:before="60" w:after="60"/>
        <w:ind w:left="850"/>
      </w:pPr>
      <w:r>
        <w:rPr>
          <w:rFonts w:ascii="Courier New" w:hAnsi="Courier New"/>
          <w:color w:val="193A64"/>
          <w:sz w:val="19"/>
        </w:rPr>
        <w:t>drawdown[t] = equity_curve[t] − running_peak_up_to_t</w:t>
      </w:r>
    </w:p>
    <w:p>
      <w:pPr>
        <w:spacing w:before="60" w:after="60"/>
        <w:ind w:left="850"/>
      </w:pPr>
      <w:r>
        <w:rPr>
          <w:rFonts w:ascii="Courier New" w:hAnsi="Courier New"/>
          <w:color w:val="193A64"/>
          <w:sz w:val="19"/>
        </w:rPr>
        <w:t>max_drawdown = MIN(drawdown[t])  for all t  (most negative value)</w:t>
      </w:r>
    </w:p>
    <w:p>
      <w:pPr>
        <w:spacing w:before="20" w:after="60"/>
      </w:pPr>
      <w:r>
        <w:rPr>
          <w:rFonts w:ascii="Calibri" w:hAnsi="Calibri"/>
          <w:b w:val="0"/>
          <w:i w:val="0"/>
          <w:color w:val="000000"/>
          <w:sz w:val="20"/>
        </w:rPr>
        <w:t>Using one continuous curve means a multi-month losing streak is fully captured in the drawdown — not hidden by resetting the baseline each year.</w:t>
      </w:r>
    </w:p>
    <w:p/>
    <w:p>
      <w:pPr>
        <w:spacing w:before="320" w:after="80"/>
        <w:ind w:left="0"/>
        <w:pBdr>
          <w:bottom w:val="single" w:sz="6" w:space="1" w:color="2E74B5"/>
        </w:pBdr>
      </w:pPr>
      <w:r>
        <w:rPr>
          <w:rFonts w:ascii="Calibri" w:hAnsi="Calibri"/>
          <w:b/>
          <w:color w:val="1F497D"/>
          <w:sz w:val="32"/>
        </w:rPr>
        <w:t>8. Quick Glossary</w:t>
      </w:r>
    </w:p>
    <w:tbl>
      <w:tblPr>
        <w:tblStyle w:val="TableGrid"/>
        <w:tblW w:type="auto" w:w="0"/>
        <w:tblLook w:firstColumn="1" w:firstRow="1" w:lastColumn="0" w:lastRow="0" w:noHBand="0" w:noVBand="1" w:val="04A0"/>
      </w:tblPr>
      <w:tblGrid>
        <w:gridCol w:w="4703"/>
        <w:gridCol w:w="4703"/>
      </w:tblGrid>
      <w:tr>
        <w:tc>
          <w:tcPr>
            <w:tcW w:type="dxa" w:w="2592"/>
            <w:shd w:val="clear" w:color="auto" w:fill="2E74B5"/>
          </w:tcPr>
          <w:p>
            <w:pPr>
              <w:jc w:val="center"/>
            </w:pPr>
            <w:r>
              <w:rPr>
                <w:rFonts w:ascii="Calibri" w:hAnsi="Calibri"/>
                <w:b/>
                <w:color w:val="FFFFFF"/>
                <w:sz w:val="18"/>
              </w:rPr>
              <w:t>Term</w:t>
            </w:r>
          </w:p>
        </w:tc>
        <w:tc>
          <w:tcPr>
            <w:tcW w:type="dxa" w:w="6480"/>
            <w:shd w:val="clear" w:color="auto" w:fill="2E74B5"/>
          </w:tcPr>
          <w:p>
            <w:pPr>
              <w:jc w:val="center"/>
            </w:pPr>
            <w:r>
              <w:rPr>
                <w:rFonts w:ascii="Calibri" w:hAnsi="Calibri"/>
                <w:b/>
                <w:color w:val="FFFFFF"/>
                <w:sz w:val="18"/>
              </w:rPr>
              <w:t>Definition</w:t>
            </w:r>
          </w:p>
        </w:tc>
      </w:tr>
      <w:tr>
        <w:tc>
          <w:tcPr>
            <w:tcW w:type="dxa" w:w="2592"/>
            <w:shd w:val="clear" w:color="auto" w:fill="EAF2FF"/>
          </w:tcPr>
          <w:p>
            <w:pPr>
              <w:jc w:val="center"/>
            </w:pPr>
            <w:r>
              <w:rPr>
                <w:rFonts w:ascii="Calibri" w:hAnsi="Calibri"/>
                <w:sz w:val="18"/>
              </w:rPr>
              <w:t>15-min candle</w:t>
            </w:r>
          </w:p>
        </w:tc>
        <w:tc>
          <w:tcPr>
            <w:tcW w:type="dxa" w:w="6480"/>
            <w:shd w:val="clear" w:color="auto" w:fill="EAF2FF"/>
          </w:tcPr>
          <w:p>
            <w:pPr>
              <w:jc w:val="center"/>
            </w:pPr>
            <w:r>
              <w:rPr>
                <w:rFonts w:ascii="Calibri" w:hAnsi="Calibri"/>
                <w:sz w:val="18"/>
              </w:rPr>
              <w:t>One row of OHLCV data covering a 15-minute trading window</w:t>
            </w:r>
          </w:p>
        </w:tc>
      </w:tr>
      <w:tr>
        <w:tc>
          <w:tcPr>
            <w:tcW w:type="dxa" w:w="2592"/>
            <w:shd w:val="clear" w:color="auto" w:fill="FFFFFF"/>
          </w:tcPr>
          <w:p>
            <w:pPr>
              <w:jc w:val="center"/>
            </w:pPr>
            <w:r>
              <w:rPr>
                <w:rFonts w:ascii="Calibri" w:hAnsi="Calibri"/>
                <w:sz w:val="18"/>
              </w:rPr>
              <w:t>VWAP</w:t>
            </w:r>
          </w:p>
        </w:tc>
        <w:tc>
          <w:tcPr>
            <w:tcW w:type="dxa" w:w="6480"/>
            <w:shd w:val="clear" w:color="auto" w:fill="FFFFFF"/>
          </w:tcPr>
          <w:p>
            <w:pPr>
              <w:jc w:val="center"/>
            </w:pPr>
            <w:r>
              <w:rPr>
                <w:rFonts w:ascii="Calibri" w:hAnsi="Calibri"/>
                <w:sz w:val="18"/>
              </w:rPr>
              <w:t>Volume-Weighted Average Price: average price weighted by how many shares traded at each price</w:t>
            </w:r>
          </w:p>
        </w:tc>
      </w:tr>
      <w:tr>
        <w:tc>
          <w:tcPr>
            <w:tcW w:type="dxa" w:w="2592"/>
            <w:shd w:val="clear" w:color="auto" w:fill="EAF2FF"/>
          </w:tcPr>
          <w:p>
            <w:pPr>
              <w:jc w:val="center"/>
            </w:pPr>
            <w:r>
              <w:rPr>
                <w:rFonts w:ascii="Calibri" w:hAnsi="Calibri"/>
                <w:sz w:val="18"/>
              </w:rPr>
              <w:t>Typical Price (TP)</w:t>
            </w:r>
          </w:p>
        </w:tc>
        <w:tc>
          <w:tcPr>
            <w:tcW w:type="dxa" w:w="6480"/>
            <w:shd w:val="clear" w:color="auto" w:fill="EAF2FF"/>
          </w:tcPr>
          <w:p>
            <w:pPr>
              <w:jc w:val="center"/>
            </w:pPr>
            <w:r>
              <w:rPr>
                <w:rFonts w:ascii="Calibri" w:hAnsi="Calibri"/>
                <w:sz w:val="18"/>
              </w:rPr>
              <w:t>(High + Low + Close) ÷ 3 — a single representative price for a candle</w:t>
            </w:r>
          </w:p>
        </w:tc>
      </w:tr>
      <w:tr>
        <w:tc>
          <w:tcPr>
            <w:tcW w:type="dxa" w:w="2592"/>
            <w:shd w:val="clear" w:color="auto" w:fill="FFFFFF"/>
          </w:tcPr>
          <w:p>
            <w:pPr>
              <w:jc w:val="center"/>
            </w:pPr>
            <w:r>
              <w:rPr>
                <w:rFonts w:ascii="Calibri" w:hAnsi="Calibri"/>
                <w:sz w:val="18"/>
              </w:rPr>
              <w:t>cum_vol</w:t>
            </w:r>
          </w:p>
        </w:tc>
        <w:tc>
          <w:tcPr>
            <w:tcW w:type="dxa" w:w="6480"/>
            <w:shd w:val="clear" w:color="auto" w:fill="FFFFFF"/>
          </w:tcPr>
          <w:p>
            <w:pPr>
              <w:jc w:val="center"/>
            </w:pPr>
            <w:r>
              <w:rPr>
                <w:rFonts w:ascii="Calibri" w:hAnsi="Calibri"/>
                <w:sz w:val="18"/>
              </w:rPr>
              <w:t>Cumulative volume: sum of all shares traded from 09:15 to 14:45 today</w:t>
            </w:r>
          </w:p>
        </w:tc>
      </w:tr>
      <w:tr>
        <w:tc>
          <w:tcPr>
            <w:tcW w:type="dxa" w:w="2592"/>
            <w:shd w:val="clear" w:color="auto" w:fill="EAF2FF"/>
          </w:tcPr>
          <w:p>
            <w:pPr>
              <w:jc w:val="center"/>
            </w:pPr>
            <w:r>
              <w:rPr>
                <w:rFonts w:ascii="Calibri" w:hAnsi="Calibri"/>
                <w:sz w:val="18"/>
              </w:rPr>
              <w:t>avg_vol</w:t>
            </w:r>
          </w:p>
        </w:tc>
        <w:tc>
          <w:tcPr>
            <w:tcW w:type="dxa" w:w="6480"/>
            <w:shd w:val="clear" w:color="auto" w:fill="EAF2FF"/>
          </w:tcPr>
          <w:p>
            <w:pPr>
              <w:jc w:val="center"/>
            </w:pPr>
            <w:r>
              <w:rPr>
                <w:rFonts w:ascii="Calibri" w:hAnsi="Calibri"/>
                <w:sz w:val="18"/>
              </w:rPr>
              <w:t>Rolling 36-day average of full-day (09:15–15:15) volume, non-zero days only</w:t>
            </w:r>
          </w:p>
        </w:tc>
      </w:tr>
      <w:tr>
        <w:tc>
          <w:tcPr>
            <w:tcW w:type="dxa" w:w="2592"/>
            <w:shd w:val="clear" w:color="auto" w:fill="FFFFFF"/>
          </w:tcPr>
          <w:p>
            <w:pPr>
              <w:jc w:val="center"/>
            </w:pPr>
            <w:r>
              <w:rPr>
                <w:rFonts w:ascii="Calibri" w:hAnsi="Calibri"/>
                <w:sz w:val="18"/>
              </w:rPr>
              <w:t>volume_ratio</w:t>
            </w:r>
          </w:p>
        </w:tc>
        <w:tc>
          <w:tcPr>
            <w:tcW w:type="dxa" w:w="6480"/>
            <w:shd w:val="clear" w:color="auto" w:fill="FFFFFF"/>
          </w:tcPr>
          <w:p>
            <w:pPr>
              <w:jc w:val="center"/>
            </w:pPr>
            <w:r>
              <w:rPr>
                <w:rFonts w:ascii="Calibri" w:hAnsi="Calibri"/>
                <w:sz w:val="18"/>
              </w:rPr>
              <w:t>cum_vol ÷ avg_vol — how many times more active today is vs normal</w:t>
            </w:r>
          </w:p>
        </w:tc>
      </w:tr>
      <w:tr>
        <w:tc>
          <w:tcPr>
            <w:tcW w:type="dxa" w:w="2592"/>
            <w:shd w:val="clear" w:color="auto" w:fill="EAF2FF"/>
          </w:tcPr>
          <w:p>
            <w:pPr>
              <w:jc w:val="center"/>
            </w:pPr>
            <w:r>
              <w:rPr>
                <w:rFonts w:ascii="Calibri" w:hAnsi="Calibri"/>
                <w:sz w:val="18"/>
              </w:rPr>
              <w:t>pm3_open</w:t>
            </w:r>
          </w:p>
        </w:tc>
        <w:tc>
          <w:tcPr>
            <w:tcW w:type="dxa" w:w="6480"/>
            <w:shd w:val="clear" w:color="auto" w:fill="EAF2FF"/>
          </w:tcPr>
          <w:p>
            <w:pPr>
              <w:jc w:val="center"/>
            </w:pPr>
            <w:r>
              <w:rPr>
                <w:rFonts w:ascii="Calibri" w:hAnsi="Calibri"/>
                <w:sz w:val="18"/>
              </w:rPr>
              <w:t>Open of the 15:00 candle — used for the return condition (Criterion 3)</w:t>
            </w:r>
          </w:p>
        </w:tc>
      </w:tr>
      <w:tr>
        <w:tc>
          <w:tcPr>
            <w:tcW w:type="dxa" w:w="2592"/>
            <w:shd w:val="clear" w:color="auto" w:fill="FFFFFF"/>
          </w:tcPr>
          <w:p>
            <w:pPr>
              <w:jc w:val="center"/>
            </w:pPr>
            <w:r>
              <w:rPr>
                <w:rFonts w:ascii="Calibri" w:hAnsi="Calibri"/>
                <w:sz w:val="18"/>
              </w:rPr>
              <w:t>entry_price_315pm</w:t>
            </w:r>
          </w:p>
        </w:tc>
        <w:tc>
          <w:tcPr>
            <w:tcW w:type="dxa" w:w="6480"/>
            <w:shd w:val="clear" w:color="auto" w:fill="FFFFFF"/>
          </w:tcPr>
          <w:p>
            <w:pPr>
              <w:jc w:val="center"/>
            </w:pPr>
            <w:r>
              <w:rPr>
                <w:rFonts w:ascii="Calibri" w:hAnsi="Calibri"/>
                <w:sz w:val="18"/>
              </w:rPr>
              <w:t>Open of the 15:15 candle — your actual buy price</w:t>
            </w:r>
          </w:p>
        </w:tc>
      </w:tr>
      <w:tr>
        <w:tc>
          <w:tcPr>
            <w:tcW w:type="dxa" w:w="2592"/>
            <w:shd w:val="clear" w:color="auto" w:fill="EAF2FF"/>
          </w:tcPr>
          <w:p>
            <w:pPr>
              <w:jc w:val="center"/>
            </w:pPr>
            <w:r>
              <w:rPr>
                <w:rFonts w:ascii="Calibri" w:hAnsi="Calibri"/>
                <w:sz w:val="18"/>
              </w:rPr>
              <w:t>cumhigh_15</w:t>
            </w:r>
          </w:p>
        </w:tc>
        <w:tc>
          <w:tcPr>
            <w:tcW w:type="dxa" w:w="6480"/>
            <w:shd w:val="clear" w:color="auto" w:fill="EAF2FF"/>
          </w:tcPr>
          <w:p>
            <w:pPr>
              <w:jc w:val="center"/>
            </w:pPr>
            <w:r>
              <w:rPr>
                <w:rFonts w:ascii="Calibri" w:hAnsi="Calibri"/>
                <w:sz w:val="18"/>
              </w:rPr>
              <w:t>Max high price from 09:15 through 15:00 candles inclusive</w:t>
            </w:r>
          </w:p>
        </w:tc>
      </w:tr>
      <w:tr>
        <w:tc>
          <w:tcPr>
            <w:tcW w:type="dxa" w:w="2592"/>
            <w:shd w:val="clear" w:color="auto" w:fill="FFFFFF"/>
          </w:tcPr>
          <w:p>
            <w:pPr>
              <w:jc w:val="center"/>
            </w:pPr>
            <w:r>
              <w:rPr>
                <w:rFonts w:ascii="Calibri" w:hAnsi="Calibri"/>
                <w:sz w:val="18"/>
              </w:rPr>
              <w:t>fade_at_entry_pct</w:t>
            </w:r>
          </w:p>
        </w:tc>
        <w:tc>
          <w:tcPr>
            <w:tcW w:type="dxa" w:w="6480"/>
            <w:shd w:val="clear" w:color="auto" w:fill="FFFFFF"/>
          </w:tcPr>
          <w:p>
            <w:pPr>
              <w:jc w:val="center"/>
            </w:pPr>
            <w:r>
              <w:rPr>
                <w:rFonts w:ascii="Calibri" w:hAnsi="Calibri"/>
                <w:sz w:val="18"/>
              </w:rPr>
              <w:t>(cumhigh_15 − entry_price_315pm) ÷ cumhigh_15 × 100</w:t>
            </w:r>
          </w:p>
        </w:tc>
      </w:tr>
      <w:tr>
        <w:tc>
          <w:tcPr>
            <w:tcW w:type="dxa" w:w="2592"/>
            <w:shd w:val="clear" w:color="auto" w:fill="EAF2FF"/>
          </w:tcPr>
          <w:p>
            <w:pPr>
              <w:jc w:val="center"/>
            </w:pPr>
            <w:r>
              <w:rPr>
                <w:rFonts w:ascii="Calibri" w:hAnsi="Calibri"/>
                <w:sz w:val="18"/>
              </w:rPr>
              <w:t>LB = 36</w:t>
            </w:r>
          </w:p>
        </w:tc>
        <w:tc>
          <w:tcPr>
            <w:tcW w:type="dxa" w:w="6480"/>
            <w:shd w:val="clear" w:color="auto" w:fill="EAF2FF"/>
          </w:tcPr>
          <w:p>
            <w:pPr>
              <w:jc w:val="center"/>
            </w:pPr>
            <w:r>
              <w:rPr>
                <w:rFonts w:ascii="Calibri" w:hAnsi="Calibri"/>
                <w:sz w:val="18"/>
              </w:rPr>
              <w:t>Lookback window = 36 trading days for the volume rolling average</w:t>
            </w:r>
          </w:p>
        </w:tc>
      </w:tr>
      <w:tr>
        <w:tc>
          <w:tcPr>
            <w:tcW w:type="dxa" w:w="2592"/>
            <w:shd w:val="clear" w:color="auto" w:fill="FFFFFF"/>
          </w:tcPr>
          <w:p>
            <w:pPr>
              <w:jc w:val="center"/>
            </w:pPr>
            <w:r>
              <w:rPr>
                <w:rFonts w:ascii="Calibri" w:hAnsi="Calibri"/>
                <w:sz w:val="18"/>
              </w:rPr>
              <w:t>VM = 6</w:t>
            </w:r>
          </w:p>
        </w:tc>
        <w:tc>
          <w:tcPr>
            <w:tcW w:type="dxa" w:w="6480"/>
            <w:shd w:val="clear" w:color="auto" w:fill="FFFFFF"/>
          </w:tcPr>
          <w:p>
            <w:pPr>
              <w:jc w:val="center"/>
            </w:pPr>
            <w:r>
              <w:rPr>
                <w:rFonts w:ascii="Calibri" w:hAnsi="Calibri"/>
                <w:sz w:val="18"/>
              </w:rPr>
              <w:t>Volume multiplier = 6× (minimum volume ratio to pass Criterion 2)</w:t>
            </w:r>
          </w:p>
        </w:tc>
      </w:tr>
      <w:tr>
        <w:tc>
          <w:tcPr>
            <w:tcW w:type="dxa" w:w="2592"/>
            <w:shd w:val="clear" w:color="auto" w:fill="EAF2FF"/>
          </w:tcPr>
          <w:p>
            <w:pPr>
              <w:jc w:val="center"/>
            </w:pPr>
            <w:r>
              <w:rPr>
                <w:rFonts w:ascii="Calibri" w:hAnsi="Calibri"/>
                <w:sz w:val="18"/>
              </w:rPr>
              <w:t>Split exit</w:t>
            </w:r>
          </w:p>
        </w:tc>
        <w:tc>
          <w:tcPr>
            <w:tcW w:type="dxa" w:w="6480"/>
            <w:shd w:val="clear" w:color="auto" w:fill="EAF2FF"/>
          </w:tcPr>
          <w:p>
            <w:pPr>
              <w:jc w:val="center"/>
            </w:pPr>
            <w:r>
              <w:rPr>
                <w:rFonts w:ascii="Calibri" w:hAnsi="Calibri"/>
                <w:sz w:val="18"/>
              </w:rPr>
              <w:t>Sell 50% at next-day 09:45 AM open, remaining 50% at next-day 11:00 AM open</w:t>
            </w:r>
          </w:p>
        </w:tc>
      </w:tr>
      <w:tr>
        <w:tc>
          <w:tcPr>
            <w:tcW w:type="dxa" w:w="2592"/>
            <w:shd w:val="clear" w:color="auto" w:fill="FFFFFF"/>
          </w:tcPr>
          <w:p>
            <w:pPr>
              <w:jc w:val="center"/>
            </w:pPr>
            <w:r>
              <w:rPr>
                <w:rFonts w:ascii="Calibri" w:hAnsi="Calibri"/>
                <w:sz w:val="18"/>
              </w:rPr>
              <w:t>Non-compounding</w:t>
            </w:r>
          </w:p>
        </w:tc>
        <w:tc>
          <w:tcPr>
            <w:tcW w:type="dxa" w:w="6480"/>
            <w:shd w:val="clear" w:color="auto" w:fill="FFFFFF"/>
          </w:tcPr>
          <w:p>
            <w:pPr>
              <w:jc w:val="center"/>
            </w:pPr>
            <w:r>
              <w:rPr>
                <w:rFonts w:ascii="Calibri" w:hAnsi="Calibri"/>
                <w:sz w:val="18"/>
              </w:rPr>
              <w:t>Returns are added arithmetically, not multiplied — no reinvestment assumption</w:t>
            </w:r>
          </w:p>
        </w:tc>
      </w:tr>
    </w:tbl>
    <w:p/>
    <w:p>
      <w:pPr>
        <w:spacing w:before="400"/>
        <w:jc w:val="center"/>
      </w:pPr>
      <w:r>
        <w:rPr>
          <w:rFonts w:ascii="Calibri" w:hAnsi="Calibri"/>
          <w:color w:val="808080"/>
          <w:sz w:val="16"/>
        </w:rPr>
        <w:t>Generated automatically — NSE Volume Breakout Strategy   |   LB=36  VM=6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