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10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21 September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 search, correlation, and incident management; start evidence reporting and response actions.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Completed event search with facets/saved searches, four correlation evaluator types and live worker execution, and incident lifecycle management. Defined asynchronous report generation and a protected firewall response model with expiry and recovery behavior.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3 feature commits.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567e05d — “M6: event search — keyset-paginated query API, facets, saved searches”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76d671a — “M7: correlation engine — rules-as-data, four evaluators, live worker task”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ba4c083 — “M8: incident management — lifecycle, promotion from candidates, history”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Long report jobs should not block API requests; containment must never block protected addresses.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Designed queued report generation and mandatory protection/TTL checks before firewall changes.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~82% complete — on track. Detection-to-incident workflow was complete and response/reporting work had begun.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Keeping evaluator queries bounded and ensuring incident promotion remained idempotent under repeated worker execution.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Finish PDF/CSV/JSON reports, schedules, firewall containment, PCAP upload/analysis, and threat intelligence.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Studied asynchronous report pipelines, reproducible evidence exports, iptables containment, protected-IP guardrails, TTL-based rollback, and crash reconciliation. Response actions require explicit user intent and retain a complete audit trail.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10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0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report generation and scheduling workspace for PDF, CSV, and JSON evidence.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10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