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11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27 September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Complete reporting, containment, PCAP analysis, and threat-intelligence enrichment.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Implemented four asynchronous report types, report schedules, PDF/CSV/JSON outputs, protected and TTL-bounded firewall blocks, PCAP upload/parser isolation, flow/artifact extraction, IOC/source management, feed normalization, and event/incident enrichment.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5 milestone commits.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87f7e20 — “M9: reporting backend — four report types, async PDF/CSV/JSON generation, scheduling”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e536b79 — “M9: reporting frontend — reports table, new-report form, admin schedules”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fe1ca48 — “M10: firewall containment — protection guard, iptables ops, TTL-bounded blocks”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7082a69 — “M5 to M10 work”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0c98a3e — “complte all modules” (M11/M12 integration and E2E coverage)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Uploaded captures and external feeds are untrusted; firewall operations are high impact.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Isolated parsing, bounded file/resource use, normalized IOCs, protected critical addresses, and enforced automatic unblock expiry.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~91% complete — on track. All planned functional modules were integrated end to end.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Safely parsing large/malformed captures and feeds while keeping memory, database work, and external requests bounded.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Run end-to-end validation, harden security controls, improve documentation/UI clarity, and prepare the final demonstration.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Reviewed PCAP parser isolation, MIME/size validation, flow reconstruction, IOC normalization (IP/domain/hash), safe feed retrieval, SSRF controls, and reversible containment. External indicators remain attributable to their source and match evidence.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11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11_firew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guarded containment console with active blocks, history, protected targets, and expiry controls.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11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