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2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27 July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 a threat model, define functional/non-functional requirements, and design a safe deployment architecture.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Documented trust boundaries for the browser, API, database, Redis queue, sensor, and privileged network helper. Defined RBAC roles, auditability, retention, least privilege, local deployment, and recoverable operations as core requirements.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0 commits (architecture and research week).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Outputs were the threat model, data-flow plan, and milestone breakdown used for later implementation.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Raw packet capture and firewall operations require privileges that the web API must not receive.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Introduced a narrow Unix-socket helper boundary so the API can remain unprivileged.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~10% complete — on track. Architecture and security constraints were established before coding.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Balancing useful network visibility with safe privilege separation. The design isolates raw-socket operations and exposes only allow-listed helper commands.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Design the database entities, API contracts, Docker topology, and initial repository structure.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Studied container capability controls, Unix-domain socket permissions, secure refresh-token patterns, PostgreSQL transaction guarantees, and Redis-backed work coordination. The design adopted defense in depth: capability allowlists, unprivileged API execution, append-only audit records, and explicit role checks.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2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2_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the public landing page explains discovery, detection, triage, and response in first-time-user language.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2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