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3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03 August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Translate the architecture into modules, database models, API routes, navigation, and a 12-week implementation plan.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Split the platform into authentication, asset discovery, Suricata sensor, event pipeline, search, correlation, incidents, reports, firewall response, PCAP analysis, and threat intelligence. Defined FastAPI + SQLAlchemy/Alembic, PostgreSQL, Redis, React/Vite, Nginx, and Docker Compose as the implementation stack.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0 commits (technical design week).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Prepared module specifications M03–M12 and acceptance criteria for each milestone.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A single service would mix privileged capture, API traffic, and long-running ingestion.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Separated API, worker, helper, frontend, proxy, PostgreSQL, and Redis responsibilities.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~18% complete — on track. Data model and module contracts were ready for implementation.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The event data volume could make offset pagination and one large table slow. The plan adopted monthly partitions and keyset pagination.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Initialize the repository, implement Docker services, health checks, migrations, and the first authentication screen.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Evaluated synchronous versus asynchronous API/database access, migration strategies, partitioned event storage, and React routing approaches. Async FastAPI and asyncpg were selected for concurrent event/search workloads, while Alembic provides reproducible schema evolution.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3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the secure sign-in interface produced from the authentication and role-access design.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3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