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8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07 September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Add scalable event exploration and a correlation engine that can turn raw alerts into actionable findings.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Designed keyset-paginated event queries, filter/facet contracts, saved searches, and correlation rules stored as data. Implemented evaluator patterns for threshold, sequence, rare-event, and beacon-like behavior, plus candidate creation and rule-run tracking.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0 standalone commits this review period.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Search and correlation were integrated as feature milestones and committed after joint testing on 21 September.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Offset pagination degrades on large event tables; hard-coded detectors are difficult to tune.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Adopted indexed keyset pagination and editable rules-as-data with bounded evaluator inputs.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~63% complete — on track. Analysts could search evidence and define repeatable detections.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Correlation needed deterministic windows and duplicate suppression so repeated worker passes would not create duplicate candidates.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Complete incident promotion, assignment, status/severity changes, evidence linking, and immutable history.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Studied keyset versus offset pagination, time-window correlation, threshold and sequence detection, beacon periodicity, and false-positive control. Rule state and runs are persisted so detections remain explainable and auditable.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8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08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configurable correlation rule and candidate workspace.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8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