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9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14 September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Integrate M1–M5 work and implement the analyst incident lifecycle.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Merged authentication, asset discovery, sensor, and event-pipeline foundations in one reviewed milestone. Added incident creation from candidates, human-readable numbering, status/severity/assignee changes, event attachment, comments, and append-only incident history.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1 major consolidated commit.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d79a37c — “update the project to m5” (130 files; authentication, assets, sensor, pipeline, tests, and UI foundation).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Candidates needed traceable promotion without losing original evidence.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Incident records retain candidate/event relationships and record every lifecycle change in history.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~73% complete — on track. The platform supported discovery through investigation as one integrated workflow.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The milestone was large because related database migrations, worker logic, API contracts, tests, and frontend screens had to land together.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Finalize search/correlation commits, reporting, scheduled generation, and safe firewall containment.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Reviewed incident-response case management, chain of custody, analyst assignment, evidence preservation, and append-only change history. The model separates machine-generated candidates from analyst-managed incidents while maintaining the source trail.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9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9_inci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incident queue supporting triage, assignment, status, severity, and evidence review.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9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