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vAlign w:val="center"/>
          </w:tcPr>
          <w:p>
            <w:r>
              <w:rPr>
                <w:sz w:val="20"/>
              </w:rPr>
              <w:t>08/10/2026</w:t>
            </w:r>
          </w:p>
        </w:tc>
      </w:tr>
      <w:tr w:rsidR="00604E29" w14:paraId="7A66939B" w14:textId="77777777">
        <w:tc>
          <w:tcPr>
            <w:tcW w:w="4695" w:type="dxa"/>
          </w:tcPr>
          <w:p w14:paraId="2D366549" w14:textId="77777777" w:rsidR="00604E29" w:rsidRDefault="00000000">
            <w:r>
              <w:t>Team ID</w:t>
            </w:r>
          </w:p>
        </w:tc>
        <w:tc>
          <w:tcPr>
            <w:tcW w:w="4335" w:type="dxa"/>
            <w:vAlign w:val="center"/>
          </w:tcPr>
          <w:p>
            <w:r>
              <w:rPr>
                <w:sz w:val="20"/>
              </w:rPr>
              <w:t>9100Byte</w:t>
            </w:r>
          </w:p>
        </w:tc>
      </w:tr>
      <w:tr w:rsidR="00604E29" w14:paraId="0E84FB5D" w14:textId="77777777">
        <w:tc>
          <w:tcPr>
            <w:tcW w:w="4695" w:type="dxa"/>
          </w:tcPr>
          <w:p w14:paraId="4C398D34" w14:textId="77777777" w:rsidR="00604E29" w:rsidRDefault="00000000">
            <w:r>
              <w:t>Project Name</w:t>
            </w:r>
          </w:p>
        </w:tc>
        <w:tc>
          <w:tcPr>
            <w:tcW w:w="4335" w:type="dxa"/>
            <w:vAlign w:val="center"/>
          </w:tcPr>
          <w:p>
            <w:r>
              <w:rPr>
                <w:sz w:val="20"/>
              </w:rPr>
              <w:t>Implement Client Script &amp; UI Policy (Incident)</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vAlign w:val="center"/>
          </w:tcPr>
          <w:p>
            <w:r>
              <w:rPr>
                <w:sz w:val="20"/>
              </w:rPr>
              <w:t>1</w:t>
            </w:r>
          </w:p>
        </w:tc>
        <w:tc>
          <w:tcPr>
            <w:tcW w:w="3658" w:type="dxa"/>
          </w:tcPr>
          <w:p w14:paraId="3FF28270" w14:textId="77777777" w:rsidR="00604E29" w:rsidRDefault="00000000">
            <w:r>
              <w:rPr>
                <w:color w:val="222222"/>
              </w:rPr>
              <w:t>Problem Statement (Problem to be solved)</w:t>
            </w:r>
          </w:p>
        </w:tc>
        <w:tc>
          <w:tcPr>
            <w:tcW w:w="4508" w:type="dxa"/>
            <w:vAlign w:val="center"/>
          </w:tcPr>
          <w:p>
            <w:r>
              <w:rPr>
                <w:sz w:val="20"/>
              </w:rPr>
              <w:t>Incident forms may contain incomplete or inconsistent information. Manual checking can allow missing assignment information, incorrect urgency values, and unsuitable updates, affecting incident tracking and service quality.</w:t>
            </w:r>
          </w:p>
        </w:tc>
      </w:tr>
      <w:tr w:rsidR="00604E29" w14:paraId="6F005075" w14:textId="77777777">
        <w:trPr>
          <w:trHeight w:val="817"/>
        </w:trPr>
        <w:tc>
          <w:tcPr>
            <w:tcW w:w="901" w:type="dxa"/>
            <w:vAlign w:val="center"/>
          </w:tcPr>
          <w:p>
            <w:r>
              <w:rPr>
                <w:sz w:val="20"/>
              </w:rPr>
              <w:t>2</w:t>
            </w:r>
          </w:p>
        </w:tc>
        <w:tc>
          <w:tcPr>
            <w:tcW w:w="3658" w:type="dxa"/>
          </w:tcPr>
          <w:p w14:paraId="2E5677B7" w14:textId="77777777" w:rsidR="00604E29" w:rsidRDefault="00000000">
            <w:r>
              <w:rPr>
                <w:color w:val="222222"/>
              </w:rPr>
              <w:t>Idea / Solution description</w:t>
            </w:r>
          </w:p>
        </w:tc>
        <w:tc>
          <w:tcPr>
            <w:tcW w:w="4508" w:type="dxa"/>
            <w:vAlign w:val="center"/>
          </w:tcPr>
          <w:p>
            <w:r>
              <w:rPr>
                <w:sz w:val="20"/>
              </w:rPr>
              <w:t>Configure ServiceNow UI Policies and Client Scripts for the Incident table. The High Impact UI Policy makes Assignment group mandatory and controls Urgency. An onChange script automatically sets Urgency to High, an onSubmit script prevents saving a High Impact incident without Assigned To, and an onCellEdit script prevents direct State changes from list view.</w:t>
            </w:r>
          </w:p>
        </w:tc>
      </w:tr>
      <w:tr w:rsidR="00604E29" w14:paraId="58329B4D" w14:textId="77777777">
        <w:trPr>
          <w:trHeight w:val="787"/>
        </w:trPr>
        <w:tc>
          <w:tcPr>
            <w:tcW w:w="901" w:type="dxa"/>
            <w:vAlign w:val="center"/>
          </w:tcPr>
          <w:p>
            <w:r>
              <w:rPr>
                <w:sz w:val="20"/>
              </w:rPr>
              <w:t>3</w:t>
            </w:r>
          </w:p>
        </w:tc>
        <w:tc>
          <w:tcPr>
            <w:tcW w:w="3658" w:type="dxa"/>
          </w:tcPr>
          <w:p w14:paraId="0CE12A68" w14:textId="77777777" w:rsidR="00604E29" w:rsidRDefault="00000000">
            <w:r>
              <w:rPr>
                <w:color w:val="222222"/>
              </w:rPr>
              <w:t xml:space="preserve">Novelty / Uniqueness </w:t>
            </w:r>
          </w:p>
        </w:tc>
        <w:tc>
          <w:tcPr>
            <w:tcW w:w="4508" w:type="dxa"/>
            <w:vAlign w:val="center"/>
          </w:tcPr>
          <w:p>
            <w:r>
              <w:rPr>
                <w:sz w:val="20"/>
              </w:rPr>
              <w:t>The solution combines conditional UI behavior, automatic field updates, save-time validation, and list-edit protection using standard ServiceNow client-side configuration.</w:t>
            </w:r>
          </w:p>
        </w:tc>
      </w:tr>
      <w:tr w:rsidR="00604E29" w14:paraId="3D9C92C5" w14:textId="77777777">
        <w:trPr>
          <w:trHeight w:val="817"/>
        </w:trPr>
        <w:tc>
          <w:tcPr>
            <w:tcW w:w="901" w:type="dxa"/>
            <w:vAlign w:val="center"/>
          </w:tcPr>
          <w:p>
            <w:r>
              <w:rPr>
                <w:sz w:val="20"/>
              </w:rPr>
              <w:t>4</w:t>
            </w:r>
          </w:p>
        </w:tc>
        <w:tc>
          <w:tcPr>
            <w:tcW w:w="3658" w:type="dxa"/>
          </w:tcPr>
          <w:p w14:paraId="5282EBA1" w14:textId="77777777" w:rsidR="00604E29" w:rsidRDefault="00000000">
            <w:r>
              <w:rPr>
                <w:color w:val="222222"/>
              </w:rPr>
              <w:t>Social Impact / Customer Satisfaction</w:t>
            </w:r>
          </w:p>
        </w:tc>
        <w:tc>
          <w:tcPr>
            <w:tcW w:w="4508" w:type="dxa"/>
            <w:vAlign w:val="center"/>
          </w:tcPr>
          <w:p>
            <w:r>
              <w:rPr>
                <w:sz w:val="20"/>
              </w:rPr>
              <w:t>The solution improves data consistency, reduces manual checking, guides support users, and prevents invalid Incident updates, supporting reliable incident classification, assignment, and resolution.</w:t>
            </w:r>
          </w:p>
        </w:tc>
      </w:tr>
      <w:tr w:rsidR="00604E29" w14:paraId="67441115" w14:textId="77777777">
        <w:trPr>
          <w:trHeight w:val="817"/>
        </w:trPr>
        <w:tc>
          <w:tcPr>
            <w:tcW w:w="901" w:type="dxa"/>
            <w:vAlign w:val="center"/>
          </w:tcPr>
          <w:p>
            <w:r>
              <w:rPr>
                <w:sz w:val="20"/>
              </w:rPr>
              <w:t>5</w:t>
            </w:r>
          </w:p>
        </w:tc>
        <w:tc>
          <w:tcPr>
            <w:tcW w:w="3658" w:type="dxa"/>
          </w:tcPr>
          <w:p w14:paraId="27E95CC0" w14:textId="77777777" w:rsidR="00604E29" w:rsidRDefault="00000000">
            <w:r>
              <w:rPr>
                <w:color w:val="222222"/>
              </w:rPr>
              <w:t>Business Model (Revenue Model)</w:t>
            </w:r>
          </w:p>
        </w:tc>
        <w:tc>
          <w:tcPr>
            <w:tcW w:w="4508" w:type="dxa"/>
            <w:vAlign w:val="center"/>
          </w:tcPr>
          <w:p>
            <w:r>
              <w:rPr>
                <w:sz w:val="20"/>
              </w:rPr>
              <w:t>The solution can be delivered through ServiceNow implementation, configuration, customization, or managed support services. Its main value is reducing operational effort and improving record quality.</w:t>
            </w:r>
          </w:p>
        </w:tc>
      </w:tr>
      <w:tr w:rsidR="00604E29" w14:paraId="2ECBCEA1" w14:textId="77777777">
        <w:trPr>
          <w:trHeight w:val="817"/>
        </w:trPr>
        <w:tc>
          <w:tcPr>
            <w:tcW w:w="901" w:type="dxa"/>
            <w:vAlign w:val="center"/>
          </w:tcPr>
          <w:p>
            <w:r>
              <w:rPr>
                <w:sz w:val="20"/>
              </w:rPr>
              <w:t>6</w:t>
            </w:r>
          </w:p>
        </w:tc>
        <w:tc>
          <w:tcPr>
            <w:tcW w:w="3658" w:type="dxa"/>
          </w:tcPr>
          <w:p w14:paraId="54EBFC13" w14:textId="77777777" w:rsidR="00604E29" w:rsidRDefault="00000000">
            <w:pPr>
              <w:rPr>
                <w:color w:val="222222"/>
              </w:rPr>
            </w:pPr>
            <w:r>
              <w:rPr>
                <w:color w:val="222222"/>
              </w:rPr>
              <w:t>Scalability of the Solution</w:t>
            </w:r>
          </w:p>
        </w:tc>
        <w:tc>
          <w:tcPr>
            <w:tcW w:w="4508" w:type="dxa"/>
            <w:vAlign w:val="center"/>
          </w:tcPr>
          <w:p>
            <w:r>
              <w:rPr>
                <w:sz w:val="20"/>
              </w:rPr>
              <w:t>The approach can be extended to additional Incident fields, conditions, departments, and validation rules, making it suitable for larger ServiceNow implementations.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