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>
            <w:r>
              <w:t>08/10/2026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>
            <w:r>
              <w:t>9100Byte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>
            <w:r>
              <w:t>Implement Client Script &amp; UI Policy (Incident)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t>The solution architecture for this project connects the ServiceNow Incident form, UI Policy controls, Client Scripts, validation logic, and the Incident table.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t>• Improve Incident data consistency using standard ServiceNow configuration.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t>• Control field behavior through UI Policies and Client Scripts.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t>• Automatically set Urgency, validate Assigned To, and control State list editing.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t>• Provide clear client-side behavior before an Incident is saved or updated.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t>Project Solution Architecture Diagram: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t>Figure 1: ServiceNow Incident UI Policy and Client Script architecture.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