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As per evaluation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S.No.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Values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Configuration Summary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ServiceNow Incident configuration using one UI Policy and three Client Scripts. The UI Policy controls Assignment group and Urgency based on Impact.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691640" cy="7778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77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Functional Accuracy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High Impact makes Assignment group mandatory and Urgency read-only; onChange sets Urgency High; onSubmit blocks missing Assigned To; onCellEdit blocks direct State changes.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691640" cy="7927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92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Conditional Rule Execution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Rules execute only under their defined conditions and restore normal behavior when the condition becomes false.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691640" cy="7974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97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/>
    <w:p>
      <w:r>
        <w:rPr>
          <w:rFonts w:ascii="Calibri" w:hAnsi="Calibri"/>
          <w:b/>
          <w:sz w:val="21"/>
        </w:rPr>
        <w:t>Execution Result Summary</w:t>
      </w:r>
    </w:p>
    <w:p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>
      <w:r>
        <w:rPr>
          <w:rFonts w:ascii="Calibri" w:hAnsi="Calibri"/>
          <w:sz w:val="21"/>
        </w:rPr>
        <w:t>Defects: None identified in the supplied evidence.</w:t>
      </w:r>
    </w:p>
    <w:p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>
      <w:r>
        <w:rPr>
          <w:rFonts w:ascii="Calibri" w:hAnsi="Calibri"/>
          <w:b/>
          <w:sz w:val="21"/>
        </w:rPr>
        <w:t>Configuration and Validation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22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image7.png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71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image3.png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86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image12.png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