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sz w:val="24"/>
          <w:szCs w:val="24"/>
        </w:rPr>
      </w:pPr>
      <w:bookmarkStart w:colFirst="0" w:colLast="0" w:name="_d837w1x6w0rp" w:id="0"/>
      <w:bookmarkEnd w:id="0"/>
      <w:r w:rsidDel="00000000" w:rsidR="00000000" w:rsidRPr="00000000">
        <w:rPr>
          <w:rFonts w:ascii="Calibri" w:hAnsi="Calibri"/>
          <w:b w:val="1"/>
          <w:sz w:val="21"/>
          <w:szCs w:val="24"/>
          <w:rtl w:val="0"/>
        </w:rPr>
        <w:t xml:space="preserve">Functional &amp; Performance Testing Template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1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hAnsi="Calibri"/>
          <w:sz w:val="21"/>
          <w:rtl w:val="0"/>
        </w:rPr>
      </w:r>
    </w:p>
    <w:tbl>
      <w:tblPr>
        <w:tblStyle w:val="Table1"/>
        <w:tblW w:w="90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rtl w:val="0"/>
              </w:rPr>
              <w:t xml:space="preserve">Date</w:t>
            </w:r>
          </w:p>
        </w:tc>
        <w:tc>
          <w:tcPr>
            <w:vAlign w:val="center"/>
          </w:tcPr>
          <w:p>
            <w:r>
              <w:rPr>
                <w:rFonts w:ascii="Calibri" w:hAnsi="Calibri"/>
                <w:sz w:val="19"/>
              </w:rPr>
              <w:t>08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rtl w:val="0"/>
              </w:rPr>
              <w:t xml:space="preserve">Team ID</w:t>
            </w:r>
          </w:p>
        </w:tc>
        <w:tc>
          <w:tcPr>
            <w:vAlign w:val="center"/>
          </w:tcPr>
          <w:p>
            <w:r>
              <w:rPr>
                <w:rFonts w:ascii="Calibri" w:hAnsi="Calibri"/>
                <w:sz w:val="19"/>
              </w:rPr>
              <w:t>9100Byte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rtl w:val="0"/>
              </w:rPr>
              <w:t xml:space="preserve">Project Name</w:t>
            </w:r>
          </w:p>
        </w:tc>
        <w:tc>
          <w:tcPr>
            <w:vAlign w:val="center"/>
          </w:tcPr>
          <w:p>
            <w:r>
              <w:rPr>
                <w:rFonts w:ascii="Calibri" w:hAnsi="Calibri"/>
                <w:sz w:val="19"/>
              </w:rPr>
              <w:t>Implement Client Script &amp; UI Policy (Incident)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rtl w:val="0"/>
              </w:rPr>
              <w:t xml:space="preserve">Maximum Marks</w:t>
            </w:r>
          </w:p>
        </w:tc>
        <w:tc>
          <w:tcPr>
            <w:vAlign w:val="center"/>
          </w:tcPr>
          <w:p>
            <w:r>
              <w:rPr>
                <w:rFonts w:ascii="Calibri" w:hAnsi="Calibri"/>
                <w:sz w:val="19"/>
              </w:rPr>
              <w:t>As per evaluation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Calibri" w:hAnsi="Calibri"/>
          <w:sz w:val="21"/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sz w:val="20"/>
          <w:szCs w:val="20"/>
        </w:rPr>
      </w:pPr>
      <w:bookmarkStart w:colFirst="0" w:colLast="0" w:name="_35ti2rx0yahx" w:id="1"/>
      <w:bookmarkEnd w:id="1"/>
      <w:r w:rsidDel="00000000" w:rsidR="00000000" w:rsidRPr="00000000">
        <w:rPr>
          <w:rFonts w:ascii="Calibri" w:hAnsi="Calibri"/>
          <w:b w:val="1"/>
          <w:sz w:val="21"/>
          <w:szCs w:val="20"/>
          <w:rtl w:val="0"/>
        </w:rPr>
        <w:t xml:space="preserve">Test Scenarios &amp; Results</w:t>
      </w:r>
    </w:p>
    <w:tbl>
      <w:tblPr>
        <w:tblStyle w:val="Table2"/>
        <w:tblW w:w="936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8.5022692889561"/>
        <w:gridCol w:w="2213.736762481089"/>
        <w:gridCol w:w="2029.6520423600605"/>
        <w:gridCol w:w="2142.9349470499246"/>
        <w:gridCol w:w="1024.2662632375188"/>
        <w:gridCol w:w="1080.9077155824507"/>
        <w:tblGridChange w:id="0">
          <w:tblGrid>
            <w:gridCol w:w="868.5022692889561"/>
            <w:gridCol w:w="2213.736762481089"/>
            <w:gridCol w:w="2029.6520423600605"/>
            <w:gridCol w:w="2142.9349470499246"/>
            <w:gridCol w:w="1024.2662632375188"/>
            <w:gridCol w:w="1080.9077155824507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Test Case ID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Scenario (What to test)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Test Steps (How to test)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Expected Result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Actual Result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Pass/Fail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FT-01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UI Policy – High Impact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Open Incident; set Impact to High.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Assignment group becomes mandatory and Urgency is read-only.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PASS – Supplied screenshot/documentation shows the High Impact UI Policy configuration.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FT-02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Automatic Urgency Update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Change Impact to High.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Urgency is automatically set to High and an informational message is displayed.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PASS – Supplied implementation documents the automatic Urgency update to High.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FT-03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Save Validation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Set Impact High; leave Assigned To blank; save.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Save is blocked and an error is shown for Assigned To.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PASS – Supplied implementation documents save blocking and the Assigned To error.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FT-04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Valid High Impact Save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Set Impact High; select Assigned To; save.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Incident saves successfully.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PASS – Supplied validation flow supports successful save when Assigned To is provided.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FT-05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Condition Reversal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Change Impact from High to Medium.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Assignment group is no longer mandatory and Urgency becomes editable.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PASS – Supplied implementation documents Reverse if false restoration.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FT-06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List Edit Restriction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Edit State directly from Incident list.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Change is rejected and original State remains unchanged.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PASS – Supplied implementation screenshot/evidence shows list editing protection.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PT-01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Client-side Response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Change Impact between values and observe rule response.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UI Policy and onChange behavior should respond immediately.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PASS – Client-side rule response is configured for Impact changes.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PT-02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Save Validation Response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Attempt save with missing Assigned To under High Impact.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Validation executes during save and prevents submission.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PASS – Save-time validation is configured for the stated condition.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PT-03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List Editing Response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Attempt multiple direct State edits from list view.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Each restricted edit is rejected consistently.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PASS – Direct State list edits are configured to be rejected.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PASS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Calibri" w:hAnsi="Calibri"/>
          <w:sz w:val="21"/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Calibri" w:hAnsi="Calibri"/>
          <w:sz w:val="21"/>
          <w:rtl w:val="0"/>
        </w:rPr>
      </w:r>
    </w:p>
    <w:p>
      <w:r>
        <w:rPr>
          <w:rFonts w:ascii="Calibri" w:hAnsi="Calibri"/>
          <w:sz w:val="21"/>
        </w:rPr>
        <w:t>Evidence screenshots are retained from the supplied implementation document. They demonstrate the configured ServiceNow screens and scripts; PASS is recorded as documented implementation evidence, not as a newly executed live test.</w:t>
      </w:r>
    </w:p>
    <w:p>
      <w:r>
        <w:rPr>
          <w:rFonts w:ascii="Calibri" w:hAnsi="Calibri"/>
          <w:b/>
          <w:sz w:val="21"/>
        </w:rPr>
        <w:t>Functional / Performance Evidence</w:t>
      </w:r>
    </w:p>
    <w:p>
      <w:r>
        <w:rPr>
          <w:rFonts w:ascii="Calibri" w:hAnsi="Calibri"/>
          <w:i/>
          <w:sz w:val="21"/>
        </w:rPr>
        <w:t>Evidence: Supplied ServiceNow implementation screenshot(s).</w:t>
      </w:r>
    </w:p>
    <w:p>
      <w:pPr>
        <w:jc w:val="center"/>
      </w:pPr>
      <w:r>
        <w:rPr>
          <w:rFonts w:ascii="Calibri" w:hAnsi="Calibri"/>
          <w:sz w:val="21"/>
        </w:rPr>
        <w:drawing>
          <wp:inline>
            <wp:extent cx="5486400" cy="25227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27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sz w:val="21"/>
        </w:rPr>
        <w:t>image7.png</w:t>
      </w:r>
    </w:p>
    <w:p>
      <w:pPr>
        <w:jc w:val="center"/>
      </w:pPr>
      <w:r>
        <w:rPr>
          <w:rFonts w:ascii="Calibri" w:hAnsi="Calibri"/>
          <w:sz w:val="21"/>
        </w:rPr>
        <w:drawing>
          <wp:inline>
            <wp:extent cx="5486400" cy="25710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1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sz w:val="21"/>
        </w:rPr>
        <w:t>image3.png</w:t>
      </w:r>
    </w:p>
    <w:p>
      <w:pPr>
        <w:jc w:val="center"/>
      </w:pPr>
      <w:r>
        <w:rPr>
          <w:rFonts w:ascii="Calibri" w:hAnsi="Calibri"/>
          <w:sz w:val="21"/>
        </w:rPr>
        <w:drawing>
          <wp:inline>
            <wp:extent cx="5486400" cy="25862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sz w:val="21"/>
        </w:rPr>
        <w:t>image12.png</w:t>
      </w:r>
    </w:p>
    <w:p>
      <w:pPr>
        <w:jc w:val="center"/>
      </w:pPr>
      <w:r>
        <w:rPr>
          <w:rFonts w:ascii="Calibri" w:hAnsi="Calibri"/>
          <w:sz w:val="21"/>
        </w:rPr>
        <w:drawing>
          <wp:inline>
            <wp:extent cx="5486400" cy="25142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4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sz w:val="21"/>
        </w:rPr>
        <w:t>image6.png</w:t>
      </w:r>
    </w:p>
    <w:p>
      <w:pPr>
        <w:jc w:val="center"/>
      </w:pPr>
      <w:r>
        <w:rPr>
          <w:rFonts w:ascii="Calibri" w:hAnsi="Calibri"/>
          <w:sz w:val="21"/>
        </w:rPr>
        <w:drawing>
          <wp:inline>
            <wp:extent cx="5486400" cy="258488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4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sz w:val="21"/>
        </w:rPr>
        <w:t>image2.png</w:t>
      </w:r>
    </w:p>
    <w:p>
      <w:pPr>
        <w:jc w:val="center"/>
      </w:pPr>
      <w:r>
        <w:rPr>
          <w:rFonts w:ascii="Calibri" w:hAnsi="Calibri"/>
          <w:sz w:val="21"/>
        </w:rPr>
        <w:drawing>
          <wp:inline>
            <wp:extent cx="5486400" cy="261544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5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sz w:val="21"/>
        </w:rPr>
        <w:t>image14.png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