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As per evaluation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S.No.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Values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Configuration Summary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UI Policy: High Impact Control. Client Scripts: Auto set urgency for high impact; Prevent save if Assigned To missing; Prevent state change via list edit.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20240" cy="8829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82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Functional Accuracy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High Impact triggers mandatory Assignment group and read-only Urgency. onChange sets Urgency High. onSubmit blocks missing Assigned To. onCellEdit rejects direct State list changes.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20240" cy="8998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99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Fine Tuning / Rule Refinement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No AI model fine-tuning is involved. Refinement consists of verifying conditions, field behavior, error handling and condition reversal.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20240" cy="879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79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/>
    <w:p>
      <w:r>
        <w:rPr>
          <w:rFonts w:ascii="Calibri" w:hAnsi="Calibri"/>
          <w:b/>
          <w:sz w:val="21"/>
        </w:rPr>
        <w:t>Execution Result Summary</w:t>
      </w:r>
    </w:p>
    <w:p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>
      <w:r>
        <w:rPr>
          <w:rFonts w:ascii="Calibri" w:hAnsi="Calibri"/>
          <w:sz w:val="21"/>
        </w:rPr>
        <w:t>Defects: None identified in the supplied evidence.</w:t>
      </w:r>
    </w:p>
    <w:p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>
      <w:r>
        <w:rPr>
          <w:rFonts w:ascii="Calibri" w:hAnsi="Calibri"/>
          <w:sz w:val="21"/>
        </w:rPr>
        <w:t>Note: No AI model or training process is claimed for this ServiceNow configuration project. The template is filled with the actual rule/configuration evidence supplied.</w:t>
      </w:r>
    </w:p>
    <w:p>
      <w:r>
        <w:rPr>
          <w:rFonts w:ascii="Calibri" w:hAnsi="Calibri"/>
          <w:b/>
          <w:sz w:val="21"/>
        </w:rPr>
        <w:t>Configuration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22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image7.png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71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image3.png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14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image6.png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