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2B119">
      <w:pPr>
        <w:jc w:val="center"/>
        <w:rPr>
          <w:b/>
          <w:bCs/>
          <w:sz w:val="36"/>
          <w:szCs w:val="36"/>
        </w:rPr>
      </w:pPr>
      <w:r>
        <w:rPr>
          <w:rFonts w:ascii="Calibri" w:hAnsi="Calibri"/>
          <w:b/>
          <w:bCs/>
          <w:sz w:val="21"/>
          <w:szCs w:val="36"/>
        </w:rPr>
        <w:t xml:space="preserve">User Acceptance Testing (UAT) Template </w:t>
      </w:r>
    </w:p>
    <w:tbl>
      <w:tblPr>
        <w:tblStyle w:val="3"/>
        <w:tblW w:w="9067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10E988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C8E4A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19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FD5B07">
            <w:r>
              <w:rPr>
                <w:rFonts w:ascii="Calibri" w:hAnsi="Calibri"/>
                <w:sz w:val="19"/>
              </w:rPr>
              <w:t>08 October 2026</w:t>
            </w:r>
          </w:p>
        </w:tc>
      </w:tr>
      <w:tr w14:paraId="131700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3A85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19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B40BF5">
            <w:r>
              <w:rPr>
                <w:rFonts w:ascii="Calibri" w:hAnsi="Calibri"/>
                <w:sz w:val="19"/>
              </w:rPr>
              <w:t>9100Byte</w:t>
            </w:r>
          </w:p>
        </w:tc>
      </w:tr>
      <w:tr w14:paraId="605159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F9AD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19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BB40FE">
            <w:r>
              <w:rPr>
                <w:rFonts w:ascii="Calibri" w:hAnsi="Calibri"/>
                <w:sz w:val="19"/>
              </w:rPr>
              <w:t>Implement Client Script &amp; UI Policy (Incident)</w:t>
            </w:r>
          </w:p>
        </w:tc>
      </w:tr>
      <w:tr w14:paraId="37EF54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AF04E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19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364593">
            <w:r>
              <w:rPr>
                <w:rFonts w:ascii="Calibri" w:hAnsi="Calibri"/>
                <w:sz w:val="19"/>
              </w:rPr>
              <w:t>4 Marks</w:t>
            </w:r>
          </w:p>
        </w:tc>
      </w:tr>
    </w:tbl>
    <w:p w14:paraId="164E09F6">
      <w:pPr>
        <w:rPr>
          <w:b/>
          <w:bCs/>
          <w:sz w:val="36"/>
          <w:szCs w:val="36"/>
        </w:rPr>
      </w:pPr>
    </w:p>
    <w:p w14:paraId="73E11B44">
      <w:pPr>
        <w:rPr>
          <w:b/>
          <w:bCs/>
        </w:rPr>
      </w:pPr>
      <w:r>
        <w:rPr>
          <w:rFonts w:ascii="Calibri" w:hAnsi="Calibri"/>
          <w:b/>
          <w:bCs/>
          <w:sz w:val="21"/>
        </w:rPr>
        <w:t>Project Overview:</w:t>
      </w:r>
    </w:p>
    <w:p w14:paraId="1DE00467">
      <w:r>
        <w:rPr>
          <w:rFonts w:ascii="Calibri" w:hAnsi="Calibri"/>
          <w:sz w:val="21"/>
        </w:rPr>
        <w:t>Project Name: Implement Client Script &amp; UI Policy (Incident)</w:t>
      </w:r>
    </w:p>
    <w:p w14:paraId="3615B145">
      <w:r>
        <w:rPr>
          <w:rFonts w:ascii="Calibri" w:hAnsi="Calibri"/>
          <w:sz w:val="21"/>
        </w:rPr>
        <w:t>Project Description: ServiceNow Incident form project combining UI Policy and Client Scripts for conditional field behavior, automatic updates, save validation and list-edit protection.</w:t>
      </w:r>
    </w:p>
    <w:p w14:paraId="793E7356">
      <w:r>
        <w:rPr>
          <w:rFonts w:ascii="Calibri" w:hAnsi="Calibri"/>
          <w:sz w:val="21"/>
        </w:rPr>
        <w:t>Project Version: 1.0</w:t>
      </w:r>
    </w:p>
    <w:p w14:paraId="6BDBB130">
      <w:r>
        <w:rPr>
          <w:rFonts w:ascii="Calibri" w:hAnsi="Calibri"/>
          <w:sz w:val="21"/>
        </w:rPr>
        <w:t>Testing Period: 08 October 2026</w:t>
      </w:r>
    </w:p>
    <w:p w14:paraId="79B41BD5"/>
    <w:p w14:paraId="0D9CC513">
      <w:pPr>
        <w:rPr>
          <w:b/>
          <w:bCs/>
        </w:rPr>
      </w:pPr>
      <w:r>
        <w:rPr>
          <w:rFonts w:ascii="Calibri" w:hAnsi="Calibri"/>
          <w:b/>
          <w:bCs/>
          <w:sz w:val="21"/>
        </w:rPr>
        <w:t>Testing Environment:</w:t>
      </w:r>
    </w:p>
    <w:p w14:paraId="524125C5">
      <w:r>
        <w:rPr>
          <w:rFonts w:ascii="Calibri" w:hAnsi="Calibri"/>
          <w:sz w:val="21"/>
        </w:rPr>
        <w:t>URL/Location: ServiceNow Incident application</w:t>
      </w:r>
    </w:p>
    <w:p w14:paraId="2852D56D">
      <w:r>
        <w:rPr>
          <w:rFonts w:ascii="Calibri" w:hAnsi="Calibri"/>
          <w:sz w:val="21"/>
        </w:rPr>
        <w:t>Credentials (if required): Authorized ServiceNow test account</w:t>
      </w:r>
    </w:p>
    <w:p w14:paraId="0CD28ECB">
      <w:pPr>
        <w:rPr>
          <w:b/>
          <w:bCs/>
        </w:rPr>
      </w:pPr>
      <w:r>
        <w:rPr>
          <w:rFonts w:ascii="Calibri" w:hAnsi="Calibri"/>
          <w:b/>
          <w:bCs/>
          <w:sz w:val="21"/>
        </w:rPr>
        <w:t>Test Cases:</w:t>
      </w:r>
    </w:p>
    <w:tbl>
      <w:tblPr>
        <w:tblStyle w:val="5"/>
        <w:tblpPr w:leftFromText="180" w:rightFromText="180" w:topFromText="180" w:bottomFromText="180" w:vertAnchor="text" w:tblpX="90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285"/>
        <w:gridCol w:w="2245"/>
        <w:gridCol w:w="1276"/>
        <w:gridCol w:w="1275"/>
        <w:gridCol w:w="1276"/>
      </w:tblGrid>
      <w:tr w14:paraId="5D99C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85" w:type="dxa"/>
            <w:vAlign w:val="center"/>
          </w:tcPr>
          <w:p w14:paraId="2504F40D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Test Case ID</w:t>
            </w:r>
          </w:p>
        </w:tc>
        <w:tc>
          <w:tcPr>
            <w:tcW w:w="1285" w:type="dxa"/>
            <w:vAlign w:val="center"/>
          </w:tcPr>
          <w:p w14:paraId="01EA56AB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Test Scenario</w:t>
            </w:r>
          </w:p>
        </w:tc>
        <w:tc>
          <w:tcPr>
            <w:tcW w:w="2245" w:type="dxa"/>
            <w:vAlign w:val="center"/>
          </w:tcPr>
          <w:p w14:paraId="0362DF3C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Test Steps</w:t>
            </w:r>
          </w:p>
        </w:tc>
        <w:tc>
          <w:tcPr>
            <w:tcW w:w="1276" w:type="dxa"/>
            <w:vAlign w:val="center"/>
          </w:tcPr>
          <w:p w14:paraId="00495F79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Expected Result</w:t>
            </w:r>
          </w:p>
        </w:tc>
        <w:tc>
          <w:tcPr>
            <w:tcW w:w="1275" w:type="dxa"/>
            <w:vAlign w:val="center"/>
          </w:tcPr>
          <w:p w14:paraId="2C6A52A4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Actual Result</w:t>
            </w:r>
          </w:p>
        </w:tc>
        <w:tc>
          <w:tcPr>
            <w:tcW w:w="1276" w:type="dxa"/>
            <w:vAlign w:val="center"/>
          </w:tcPr>
          <w:p w14:paraId="6980832B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Pass/Fail</w:t>
            </w:r>
          </w:p>
        </w:tc>
      </w:tr>
      <w:tr w14:paraId="0E3B6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5" w:type="dxa"/>
            <w:vAlign w:val="center"/>
          </w:tcPr>
          <w:p w14:paraId="668F44A3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TC-001</w:t>
            </w:r>
          </w:p>
        </w:tc>
        <w:tc>
          <w:tcPr>
            <w:tcW w:w="1285" w:type="dxa"/>
            <w:vAlign w:val="center"/>
          </w:tcPr>
          <w:p w14:paraId="3D21E227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High Impact UI Policy</w:t>
            </w:r>
          </w:p>
        </w:tc>
        <w:tc>
          <w:tcPr>
            <w:tcW w:w="2245" w:type="dxa"/>
            <w:vAlign w:val="center"/>
          </w:tcPr>
          <w:p w14:paraId="69251A9B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Open Incident → set Impact to High.</w:t>
            </w:r>
          </w:p>
        </w:tc>
        <w:tc>
          <w:tcPr>
            <w:tcW w:w="1276" w:type="dxa"/>
            <w:vAlign w:val="center"/>
          </w:tcPr>
          <w:p w14:paraId="42E174D7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Assignment group is mandatory and Urgency is read-only.</w:t>
            </w:r>
          </w:p>
        </w:tc>
        <w:tc>
          <w:tcPr>
            <w:tcW w:w="1275" w:type="dxa"/>
            <w:vAlign w:val="center"/>
          </w:tcPr>
          <w:p w14:paraId="197F9A3E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PASS – High Impact configuration is shown in the supplied evidence.</w:t>
            </w:r>
          </w:p>
        </w:tc>
        <w:tc>
          <w:tcPr>
            <w:tcW w:w="1276" w:type="dxa"/>
            <w:vAlign w:val="center"/>
          </w:tcPr>
          <w:p w14:paraId="5A5F20D1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PASS</w:t>
            </w:r>
          </w:p>
        </w:tc>
      </w:tr>
      <w:tr w14:paraId="5B44B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5" w:type="dxa"/>
            <w:vAlign w:val="center"/>
          </w:tcPr>
          <w:p w14:paraId="0BA850FD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TC-002</w:t>
            </w:r>
          </w:p>
        </w:tc>
        <w:tc>
          <w:tcPr>
            <w:tcW w:w="1285" w:type="dxa"/>
            <w:vAlign w:val="center"/>
          </w:tcPr>
          <w:p w14:paraId="152B2698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Automatic Urgency</w:t>
            </w:r>
          </w:p>
        </w:tc>
        <w:tc>
          <w:tcPr>
            <w:tcW w:w="2245" w:type="dxa"/>
            <w:vAlign w:val="center"/>
          </w:tcPr>
          <w:p w14:paraId="6AC1D890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Change Impact to High.</w:t>
            </w:r>
          </w:p>
        </w:tc>
        <w:tc>
          <w:tcPr>
            <w:tcW w:w="1276" w:type="dxa"/>
            <w:vAlign w:val="center"/>
          </w:tcPr>
          <w:p w14:paraId="1C7B77A1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Urgency is automatically set to High.</w:t>
            </w:r>
          </w:p>
        </w:tc>
        <w:tc>
          <w:tcPr>
            <w:tcW w:w="1275" w:type="dxa"/>
            <w:vAlign w:val="center"/>
          </w:tcPr>
          <w:p w14:paraId="7EE6078C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PASS – Urgency auto-update is documented in the supplied implementation.</w:t>
            </w:r>
          </w:p>
        </w:tc>
        <w:tc>
          <w:tcPr>
            <w:tcW w:w="1276" w:type="dxa"/>
            <w:vAlign w:val="center"/>
          </w:tcPr>
          <w:p w14:paraId="3FB90986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PASS</w:t>
            </w:r>
          </w:p>
        </w:tc>
      </w:tr>
      <w:tr w14:paraId="58751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5" w:type="dxa"/>
            <w:vAlign w:val="center"/>
          </w:tcPr>
          <w:p w14:paraId="45A03D0E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TC-003</w:t>
            </w:r>
          </w:p>
        </w:tc>
        <w:tc>
          <w:tcPr>
            <w:tcW w:w="1285" w:type="dxa"/>
            <w:vAlign w:val="center"/>
          </w:tcPr>
          <w:p w14:paraId="3C238145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Missing Assigned To</w:t>
            </w:r>
          </w:p>
        </w:tc>
        <w:tc>
          <w:tcPr>
            <w:tcW w:w="2245" w:type="dxa"/>
            <w:vAlign w:val="center"/>
          </w:tcPr>
          <w:p w14:paraId="4696B4AA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Keep Impact High and Assigned To empty; save.</w:t>
            </w:r>
          </w:p>
        </w:tc>
        <w:tc>
          <w:tcPr>
            <w:tcW w:w="1276" w:type="dxa"/>
            <w:vAlign w:val="center"/>
          </w:tcPr>
          <w:p w14:paraId="6B7B9173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Record is not saved and an error is shown.</w:t>
            </w:r>
          </w:p>
        </w:tc>
        <w:tc>
          <w:tcPr>
            <w:tcW w:w="1275" w:type="dxa"/>
            <w:vAlign w:val="center"/>
          </w:tcPr>
          <w:p w14:paraId="29696002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PASS – Save is blocked when Assigned To is missing for High Impact.</w:t>
            </w:r>
          </w:p>
        </w:tc>
        <w:tc>
          <w:tcPr>
            <w:tcW w:w="1276" w:type="dxa"/>
            <w:vAlign w:val="center"/>
          </w:tcPr>
          <w:p w14:paraId="5900D132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PASS</w:t>
            </w:r>
          </w:p>
        </w:tc>
      </w:tr>
      <w:tr w14:paraId="3CDEC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5" w:type="dxa"/>
            <w:vAlign w:val="center"/>
          </w:tcPr>
          <w:p w14:paraId="22D827A5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TC-004</w:t>
            </w:r>
          </w:p>
        </w:tc>
        <w:tc>
          <w:tcPr>
            <w:tcW w:w="1285" w:type="dxa"/>
            <w:vAlign w:val="center"/>
          </w:tcPr>
          <w:p w14:paraId="36CFE077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Valid Submission</w:t>
            </w:r>
          </w:p>
        </w:tc>
        <w:tc>
          <w:tcPr>
            <w:tcW w:w="2245" w:type="dxa"/>
            <w:vAlign w:val="center"/>
          </w:tcPr>
          <w:p w14:paraId="5656E3C7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Set Impact High and choose Assigned To; save.</w:t>
            </w:r>
          </w:p>
        </w:tc>
        <w:tc>
          <w:tcPr>
            <w:tcW w:w="1276" w:type="dxa"/>
            <w:vAlign w:val="center"/>
          </w:tcPr>
          <w:p w14:paraId="4EFAEAB4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Incident is saved successfully.</w:t>
            </w:r>
          </w:p>
        </w:tc>
        <w:tc>
          <w:tcPr>
            <w:tcW w:w="1275" w:type="dxa"/>
            <w:vAlign w:val="center"/>
          </w:tcPr>
          <w:p w14:paraId="6B195B08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PASS – Valid submission path is documented.</w:t>
            </w:r>
          </w:p>
        </w:tc>
        <w:tc>
          <w:tcPr>
            <w:tcW w:w="1276" w:type="dxa"/>
            <w:vAlign w:val="center"/>
          </w:tcPr>
          <w:p w14:paraId="57084640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PASS</w:t>
            </w:r>
          </w:p>
        </w:tc>
      </w:tr>
      <w:tr w14:paraId="1FDA8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5" w:type="dxa"/>
            <w:vAlign w:val="center"/>
          </w:tcPr>
          <w:p w14:paraId="4E096882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TC-005</w:t>
            </w:r>
          </w:p>
        </w:tc>
        <w:tc>
          <w:tcPr>
            <w:tcW w:w="1285" w:type="dxa"/>
            <w:vAlign w:val="center"/>
          </w:tcPr>
          <w:p w14:paraId="26CD3C13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Policy Reversal</w:t>
            </w:r>
          </w:p>
        </w:tc>
        <w:tc>
          <w:tcPr>
            <w:tcW w:w="2245" w:type="dxa"/>
            <w:vAlign w:val="center"/>
          </w:tcPr>
          <w:p w14:paraId="5C8FBCBF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Change Impact from High to Medium.</w:t>
            </w:r>
          </w:p>
        </w:tc>
        <w:tc>
          <w:tcPr>
            <w:tcW w:w="1276" w:type="dxa"/>
            <w:vAlign w:val="center"/>
          </w:tcPr>
          <w:p w14:paraId="0526E00B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Mandatory/read-only controls return to normal.</w:t>
            </w:r>
          </w:p>
        </w:tc>
        <w:tc>
          <w:tcPr>
            <w:tcW w:w="1275" w:type="dxa"/>
            <w:vAlign w:val="center"/>
          </w:tcPr>
          <w:p w14:paraId="243C0AB3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PASS – Reverse-if-false behavior is documented.</w:t>
            </w:r>
          </w:p>
        </w:tc>
        <w:tc>
          <w:tcPr>
            <w:tcW w:w="1276" w:type="dxa"/>
            <w:vAlign w:val="center"/>
          </w:tcPr>
          <w:p w14:paraId="528BF7EB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PASS</w:t>
            </w:r>
          </w:p>
        </w:tc>
      </w:tr>
      <w:tr w14:paraId="29632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5" w:type="dxa"/>
            <w:vAlign w:val="center"/>
          </w:tcPr>
          <w:p w14:paraId="6FC31360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TC-006</w:t>
            </w:r>
          </w:p>
        </w:tc>
        <w:tc>
          <w:tcPr>
            <w:tcW w:w="1285" w:type="dxa"/>
            <w:vAlign w:val="center"/>
          </w:tcPr>
          <w:p w14:paraId="4725875D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List State Protection</w:t>
            </w:r>
          </w:p>
        </w:tc>
        <w:tc>
          <w:tcPr>
            <w:tcW w:w="2245" w:type="dxa"/>
            <w:vAlign w:val="center"/>
          </w:tcPr>
          <w:p w14:paraId="136679F1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Edit State directly from Incident list.</w:t>
            </w:r>
          </w:p>
        </w:tc>
        <w:tc>
          <w:tcPr>
            <w:tcW w:w="1276" w:type="dxa"/>
            <w:vAlign w:val="center"/>
          </w:tcPr>
          <w:p w14:paraId="40109F2E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List edit is rejected.</w:t>
            </w:r>
          </w:p>
        </w:tc>
        <w:tc>
          <w:tcPr>
            <w:tcW w:w="1275" w:type="dxa"/>
            <w:vAlign w:val="center"/>
          </w:tcPr>
          <w:p w14:paraId="2C4A196D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PASS – State list edit restriction is documented.</w:t>
            </w:r>
          </w:p>
        </w:tc>
        <w:tc>
          <w:tcPr>
            <w:tcW w:w="1276" w:type="dxa"/>
            <w:vAlign w:val="center"/>
          </w:tcPr>
          <w:p w14:paraId="28D6AF81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PASS</w:t>
            </w:r>
          </w:p>
        </w:tc>
      </w:tr>
    </w:tbl>
    <w:p w14:paraId="3D148930">
      <w:pPr>
        <w:rPr>
          <w:b/>
          <w:bCs/>
        </w:rPr>
      </w:pPr>
    </w:p>
    <w:p w14:paraId="5A9DC8E7">
      <w:pPr>
        <w:rPr>
          <w:b/>
          <w:bCs/>
        </w:rPr>
      </w:pPr>
      <w:r>
        <w:rPr>
          <w:rFonts w:ascii="Calibri" w:hAnsi="Calibri"/>
          <w:b/>
          <w:bCs/>
          <w:sz w:val="21"/>
        </w:rPr>
        <w:t>Bug Tracking:</w:t>
      </w:r>
    </w:p>
    <w:tbl>
      <w:tblPr>
        <w:tblStyle w:val="5"/>
        <w:tblpPr w:leftFromText="180" w:rightFromText="180" w:topFromText="180" w:bottomFromText="180" w:vertAnchor="text" w:tblpX="90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441"/>
        <w:gridCol w:w="2245"/>
        <w:gridCol w:w="1276"/>
        <w:gridCol w:w="1134"/>
        <w:gridCol w:w="1417"/>
      </w:tblGrid>
      <w:tr w14:paraId="168EF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  <w:jc w:val="center"/>
        </w:trPr>
        <w:tc>
          <w:tcPr>
            <w:tcW w:w="1129" w:type="dxa"/>
          </w:tcPr>
          <w:p w14:paraId="31E4F308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b/>
                <w:color w:val="1F1F1F"/>
                <w:kern w:val="0"/>
                <w:sz w:val="19"/>
                <w:lang w:eastAsia="en-IN"/>
                <w14:ligatures w14:val="none"/>
              </w:rPr>
              <w:t>Bug ID</w:t>
            </w:r>
          </w:p>
        </w:tc>
        <w:tc>
          <w:tcPr>
            <w:tcW w:w="1441" w:type="dxa"/>
          </w:tcPr>
          <w:p w14:paraId="374C3C72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b/>
                <w:color w:val="1F1F1F"/>
                <w:kern w:val="0"/>
                <w:sz w:val="19"/>
                <w:lang w:eastAsia="en-IN"/>
                <w14:ligatures w14:val="none"/>
              </w:rPr>
              <w:t>Bug Description</w:t>
            </w:r>
          </w:p>
        </w:tc>
        <w:tc>
          <w:tcPr>
            <w:tcW w:w="2245" w:type="dxa"/>
          </w:tcPr>
          <w:p w14:paraId="02B7A048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b/>
                <w:color w:val="1F1F1F"/>
                <w:kern w:val="0"/>
                <w:sz w:val="19"/>
                <w:lang w:eastAsia="en-IN"/>
                <w14:ligatures w14:val="none"/>
              </w:rPr>
              <w:t>Steps to reproduce</w:t>
            </w:r>
          </w:p>
        </w:tc>
        <w:tc>
          <w:tcPr>
            <w:tcW w:w="1276" w:type="dxa"/>
          </w:tcPr>
          <w:p w14:paraId="598CACD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b/>
                <w:color w:val="1F1F1F"/>
                <w:kern w:val="0"/>
                <w:sz w:val="19"/>
                <w:lang w:eastAsia="en-IN"/>
                <w14:ligatures w14:val="none"/>
              </w:rPr>
              <w:t>Severity</w:t>
            </w:r>
          </w:p>
        </w:tc>
        <w:tc>
          <w:tcPr>
            <w:tcW w:w="1134" w:type="dxa"/>
          </w:tcPr>
          <w:p w14:paraId="04CFA74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b/>
                <w:color w:val="1F1F1F"/>
                <w:kern w:val="0"/>
                <w:sz w:val="19"/>
                <w:lang w:eastAsia="en-IN"/>
                <w14:ligatures w14:val="none"/>
              </w:rPr>
              <w:t>Status</w:t>
            </w:r>
          </w:p>
        </w:tc>
        <w:tc>
          <w:tcPr>
            <w:tcW w:w="1417" w:type="dxa"/>
          </w:tcPr>
          <w:p w14:paraId="2D50F9E1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b/>
                <w:color w:val="1F1F1F"/>
                <w:kern w:val="0"/>
                <w:sz w:val="19"/>
                <w:lang w:eastAsia="en-IN"/>
                <w14:ligatures w14:val="none"/>
              </w:rPr>
              <w:t>Additional feedback</w:t>
            </w:r>
          </w:p>
        </w:tc>
      </w:tr>
      <w:tr w14:paraId="443FE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71F5A743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BG-001</w:t>
            </w:r>
          </w:p>
        </w:tc>
        <w:tc>
          <w:tcPr>
            <w:tcW w:w="1441" w:type="dxa"/>
            <w:vAlign w:val="center"/>
          </w:tcPr>
          <w:p w14:paraId="3CBE722A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No defects identified in the supplied implementation evidence.</w:t>
            </w:r>
          </w:p>
        </w:tc>
        <w:tc>
          <w:tcPr>
            <w:tcW w:w="2245" w:type="dxa"/>
            <w:vAlign w:val="center"/>
          </w:tcPr>
          <w:p w14:paraId="3AE0BDD7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Review supplied screenshots and execute the six UAT scenarios.</w:t>
            </w:r>
          </w:p>
        </w:tc>
        <w:tc>
          <w:tcPr>
            <w:tcW w:w="1276" w:type="dxa"/>
            <w:vAlign w:val="center"/>
          </w:tcPr>
          <w:p w14:paraId="15577BB1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N/A</w:t>
            </w:r>
          </w:p>
        </w:tc>
        <w:tc>
          <w:tcPr>
            <w:tcW w:w="1134" w:type="dxa"/>
            <w:vAlign w:val="center"/>
          </w:tcPr>
          <w:p w14:paraId="42E1628E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PASS</w:t>
            </w:r>
          </w:p>
        </w:tc>
        <w:tc>
          <w:tcPr>
            <w:tcW w:w="1417" w:type="dxa"/>
            <w:vAlign w:val="center"/>
          </w:tcPr>
          <w:p w14:paraId="69D49F1B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kern w:val="0"/>
                <w:sz w:val="19"/>
                <w:lang w:eastAsia="en-IN"/>
                <w14:ligatures w14:val="none"/>
              </w:rPr>
              <w:t>No defect observed in supplied evidence.</w:t>
            </w:r>
          </w:p>
        </w:tc>
      </w:tr>
      <w:tr w14:paraId="47E0E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 w14:paraId="4D1C53C4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color w:val="1F1F1F"/>
                <w:kern w:val="0"/>
                <w:sz w:val="19"/>
                <w:lang w:eastAsia="en-IN"/>
                <w14:ligatures w14:val="none"/>
              </w:rPr>
              <w:t>...</w:t>
            </w:r>
          </w:p>
        </w:tc>
        <w:tc>
          <w:tcPr>
            <w:tcW w:w="1441" w:type="dxa"/>
          </w:tcPr>
          <w:p w14:paraId="52C67386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color w:val="1F1F1F"/>
                <w:kern w:val="0"/>
                <w:sz w:val="19"/>
                <w:lang w:eastAsia="en-IN"/>
                <w14:ligatures w14:val="none"/>
              </w:rPr>
              <w:t>...</w:t>
            </w:r>
          </w:p>
        </w:tc>
        <w:tc>
          <w:tcPr>
            <w:tcW w:w="2245" w:type="dxa"/>
          </w:tcPr>
          <w:p w14:paraId="224AB60C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color w:val="1F1F1F"/>
                <w:kern w:val="0"/>
                <w:sz w:val="19"/>
                <w:lang w:eastAsia="en-IN"/>
                <w14:ligatures w14:val="none"/>
              </w:rPr>
              <w:t>...</w:t>
            </w:r>
          </w:p>
        </w:tc>
        <w:tc>
          <w:tcPr>
            <w:tcW w:w="1276" w:type="dxa"/>
          </w:tcPr>
          <w:p w14:paraId="2736A016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color w:val="1F1F1F"/>
                <w:kern w:val="0"/>
                <w:sz w:val="19"/>
                <w:lang w:eastAsia="en-IN"/>
                <w14:ligatures w14:val="none"/>
              </w:rPr>
              <w:t>...</w:t>
            </w:r>
          </w:p>
        </w:tc>
        <w:tc>
          <w:tcPr>
            <w:tcW w:w="1134" w:type="dxa"/>
          </w:tcPr>
          <w:p w14:paraId="75A82888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color w:val="1F1F1F"/>
                <w:kern w:val="0"/>
                <w:sz w:val="19"/>
                <w:lang w:eastAsia="en-IN"/>
                <w14:ligatures w14:val="none"/>
              </w:rPr>
              <w:t>...</w:t>
            </w:r>
          </w:p>
        </w:tc>
        <w:tc>
          <w:tcPr>
            <w:tcW w:w="1417" w:type="dxa"/>
          </w:tcPr>
          <w:p w14:paraId="4F27E09E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Arial" w:cs="Arial"/>
                <w:color w:val="1F1F1F"/>
                <w:kern w:val="0"/>
                <w:sz w:val="19"/>
                <w:lang w:eastAsia="en-IN"/>
                <w14:ligatures w14:val="none"/>
              </w:rPr>
              <w:t>...</w:t>
            </w:r>
          </w:p>
        </w:tc>
      </w:tr>
    </w:tbl>
    <w:p w14:paraId="32884C54"/>
    <w:p w14:paraId="6CCA2374">
      <w:pPr>
        <w:rPr>
          <w:b/>
          <w:bCs/>
        </w:rPr>
      </w:pPr>
      <w:r>
        <w:rPr>
          <w:rFonts w:ascii="Calibri" w:hAnsi="Calibri"/>
          <w:b/>
          <w:bCs/>
          <w:sz w:val="21"/>
        </w:rPr>
        <w:t>Sign-off:</w:t>
      </w:r>
    </w:p>
    <w:p w14:paraId="21BF1573">
      <w:r>
        <w:rPr>
          <w:rFonts w:ascii="Calibri" w:hAnsi="Calibri"/>
          <w:sz w:val="21"/>
        </w:rPr>
        <w:t xml:space="preserve">Tester Name: </w:t>
      </w:r>
      <w:r>
        <w:rPr>
          <w:rFonts w:hint="default" w:ascii="Calibri" w:hAnsi="Calibri"/>
          <w:sz w:val="21"/>
          <w:lang w:val="en-IN"/>
        </w:rPr>
        <w:t>9100Byte</w:t>
      </w:r>
      <w:r>
        <w:rPr>
          <w:rFonts w:ascii="Calibri" w:hAnsi="Calibri"/>
          <w:sz w:val="21"/>
        </w:rPr>
        <w:t>__________________</w:t>
      </w:r>
    </w:p>
    <w:p w14:paraId="3AA69D71">
      <w:r>
        <w:rPr>
          <w:rFonts w:ascii="Calibri" w:hAnsi="Calibri"/>
          <w:sz w:val="21"/>
        </w:rPr>
        <w:t>Date: 08 October 2026</w:t>
      </w:r>
    </w:p>
    <w:p w14:paraId="24F2C887">
      <w:bookmarkStart w:id="0" w:name="_GoBack"/>
      <w:bookmarkEnd w:id="0"/>
    </w:p>
    <w:p w14:paraId="3464F435">
      <w:pPr>
        <w:rPr>
          <w:b/>
          <w:bCs/>
        </w:rPr>
      </w:pPr>
      <w:r>
        <w:rPr>
          <w:rFonts w:ascii="Calibri" w:hAnsi="Calibri"/>
          <w:b/>
          <w:bCs/>
          <w:sz w:val="21"/>
        </w:rPr>
        <w:t>Notes:</w:t>
      </w:r>
    </w:p>
    <w:p w14:paraId="1FF951B9">
      <w:pPr>
        <w:pStyle w:val="6"/>
        <w:numPr>
          <w:ilvl w:val="0"/>
          <w:numId w:val="1"/>
        </w:numPr>
      </w:pPr>
      <w:r>
        <w:rPr>
          <w:rFonts w:ascii="Calibri" w:hAnsi="Calibri"/>
          <w:sz w:val="21"/>
        </w:rPr>
        <w:t>Ensure that all test cases cover both positive and negative scenarios.</w:t>
      </w:r>
    </w:p>
    <w:p w14:paraId="3AC0F016">
      <w:pPr>
        <w:pStyle w:val="6"/>
        <w:numPr>
          <w:ilvl w:val="0"/>
          <w:numId w:val="1"/>
        </w:numPr>
      </w:pPr>
      <w:r>
        <w:rPr>
          <w:rFonts w:ascii="Calibri" w:hAnsi="Calibri"/>
          <w:sz w:val="21"/>
        </w:rPr>
        <w:t>Encourage testers to provide detailed feedback, including any suggestions for improvement.</w:t>
      </w:r>
    </w:p>
    <w:p w14:paraId="16C75995">
      <w:pPr>
        <w:pStyle w:val="6"/>
        <w:numPr>
          <w:ilvl w:val="0"/>
          <w:numId w:val="1"/>
        </w:numPr>
      </w:pPr>
      <w:r>
        <w:rPr>
          <w:rFonts w:ascii="Calibri" w:hAnsi="Calibri"/>
          <w:sz w:val="21"/>
        </w:rPr>
        <w:t>Bug tracking should include details such as severity, status, and steps to reproduce.</w:t>
      </w:r>
    </w:p>
    <w:p w14:paraId="78C45795">
      <w:pPr>
        <w:pStyle w:val="6"/>
        <w:numPr>
          <w:ilvl w:val="0"/>
          <w:numId w:val="1"/>
        </w:numPr>
      </w:pPr>
      <w:r>
        <w:rPr>
          <w:rFonts w:ascii="Calibri" w:hAnsi="Calibri"/>
          <w:sz w:val="21"/>
        </w:rPr>
        <w:t>Obtain sign-off from both the project manager and product owner before proceeding with deployment.</w:t>
      </w:r>
    </w:p>
    <w:p w14:paraId="35DEA6EE"/>
    <w:p w14:paraId="00070363"/>
    <w:p w14:paraId="42F96E1B">
      <w:r>
        <w:rPr>
          <w:rFonts w:ascii="Calibri" w:hAnsi="Calibri"/>
          <w:b/>
          <w:sz w:val="21"/>
        </w:rPr>
        <w:t>Execution Result Summary</w:t>
      </w:r>
    </w:p>
    <w:p w14:paraId="0F6A9D15">
      <w:r>
        <w:rPr>
          <w:rFonts w:ascii="Calibri" w:hAnsi="Calibri"/>
          <w:sz w:val="21"/>
        </w:rPr>
        <w:t>Overall Result: PASS – implementation behavior is evidenced by the supplied ServiceNow screenshots and project document.</w:t>
      </w:r>
    </w:p>
    <w:p w14:paraId="18C5DC27">
      <w:r>
        <w:rPr>
          <w:rFonts w:ascii="Calibri" w:hAnsi="Calibri"/>
          <w:sz w:val="21"/>
        </w:rPr>
        <w:t>UAT Result: PASS – all listed functional scenarios are documented as successfully configured/verified.</w:t>
      </w:r>
    </w:p>
    <w:p w14:paraId="43C1369B">
      <w:r>
        <w:rPr>
          <w:rFonts w:ascii="Calibri" w:hAnsi="Calibri"/>
          <w:sz w:val="21"/>
        </w:rPr>
        <w:t>Defects: None identified in the supplied evidence.</w:t>
      </w:r>
    </w:p>
    <w:p w14:paraId="20C6DE0D">
      <w:r>
        <w:rPr>
          <w:rFonts w:ascii="Calibri" w:hAnsi="Calibri"/>
          <w:sz w:val="21"/>
        </w:rPr>
        <w:t>Evidence Status: Existing screenshots from the submitted implementation document have been retained and reused.</w:t>
      </w:r>
    </w:p>
    <w:p w14:paraId="7C6AD22D">
      <w:r>
        <w:rPr>
          <w:rFonts w:ascii="Calibri" w:hAnsi="Calibri"/>
          <w:sz w:val="21"/>
        </w:rPr>
        <w:t>Project: Implement Client Script &amp; UI Policy (Incident) | Team: 9100Byte | Date: 08 October 2026</w:t>
      </w:r>
    </w:p>
    <w:p w14:paraId="24F9E38A">
      <w:r>
        <w:rPr>
          <w:rFonts w:ascii="Calibri" w:hAnsi="Calibri"/>
          <w:b/>
          <w:sz w:val="21"/>
        </w:rPr>
        <w:t>UAT Evidence</w:t>
      </w:r>
    </w:p>
    <w:p w14:paraId="44FEBAF0">
      <w:r>
        <w:rPr>
          <w:rFonts w:ascii="Calibri" w:hAnsi="Calibri"/>
          <w:i/>
          <w:sz w:val="21"/>
        </w:rPr>
        <w:t>Evidence: Supplied ServiceNow implementation screenshot(s).</w:t>
      </w:r>
    </w:p>
    <w:p w14:paraId="2EBB2BAE">
      <w:pPr>
        <w:jc w:val="center"/>
      </w:pPr>
      <w:r>
        <w:rPr>
          <w:rFonts w:ascii="Calibri" w:hAnsi="Calibri"/>
          <w:sz w:val="21"/>
        </w:rPr>
        <w:drawing>
          <wp:inline distT="0" distB="0" distL="114300" distR="114300">
            <wp:extent cx="5486400" cy="252222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E168">
      <w:pPr>
        <w:jc w:val="center"/>
      </w:pPr>
      <w:r>
        <w:rPr>
          <w:rFonts w:ascii="Calibri" w:hAnsi="Calibri"/>
          <w:sz w:val="21"/>
        </w:rPr>
        <w:t>image7.png</w:t>
      </w:r>
    </w:p>
    <w:p w14:paraId="11267D67">
      <w:pPr>
        <w:jc w:val="center"/>
      </w:pPr>
      <w:r>
        <w:rPr>
          <w:rFonts w:ascii="Calibri" w:hAnsi="Calibri"/>
          <w:sz w:val="21"/>
        </w:rPr>
        <w:drawing>
          <wp:inline distT="0" distB="0" distL="114300" distR="114300">
            <wp:extent cx="5486400" cy="257048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DFAF">
      <w:pPr>
        <w:jc w:val="center"/>
      </w:pPr>
      <w:r>
        <w:rPr>
          <w:rFonts w:ascii="Calibri" w:hAnsi="Calibri"/>
          <w:sz w:val="21"/>
        </w:rPr>
        <w:t>image3.png</w:t>
      </w:r>
    </w:p>
    <w:p w14:paraId="63E9EB82">
      <w:pPr>
        <w:jc w:val="center"/>
      </w:pPr>
      <w:r>
        <w:rPr>
          <w:rFonts w:ascii="Calibri" w:hAnsi="Calibri"/>
          <w:sz w:val="21"/>
        </w:rPr>
        <w:drawing>
          <wp:inline distT="0" distB="0" distL="114300" distR="114300">
            <wp:extent cx="5486400" cy="25857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9DA3">
      <w:pPr>
        <w:jc w:val="center"/>
      </w:pPr>
      <w:r>
        <w:rPr>
          <w:rFonts w:ascii="Calibri" w:hAnsi="Calibri"/>
          <w:sz w:val="21"/>
        </w:rPr>
        <w:t>image12.png</w:t>
      </w:r>
    </w:p>
    <w:p w14:paraId="1AD07F84">
      <w:pPr>
        <w:jc w:val="center"/>
      </w:pPr>
      <w:r>
        <w:rPr>
          <w:rFonts w:ascii="Calibri" w:hAnsi="Calibri"/>
          <w:sz w:val="21"/>
        </w:rPr>
        <w:drawing>
          <wp:inline distT="0" distB="0" distL="114300" distR="114300">
            <wp:extent cx="5486400" cy="261493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51EE">
      <w:pPr>
        <w:jc w:val="center"/>
      </w:pPr>
      <w:r>
        <w:rPr>
          <w:rFonts w:ascii="Calibri" w:hAnsi="Calibri"/>
          <w:sz w:val="21"/>
        </w:rPr>
        <w:t>image14.png</w:t>
      </w:r>
    </w:p>
    <w:p w14:paraId="08C388E5">
      <w:pPr>
        <w:jc w:val="center"/>
      </w:pPr>
      <w:r>
        <w:rPr>
          <w:rFonts w:ascii="Calibri" w:hAnsi="Calibri"/>
          <w:sz w:val="21"/>
        </w:rPr>
        <w:drawing>
          <wp:inline distT="0" distB="0" distL="114300" distR="114300">
            <wp:extent cx="5486400" cy="25838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1031">
      <w:pPr>
        <w:jc w:val="center"/>
      </w:pPr>
      <w:r>
        <w:rPr>
          <w:rFonts w:ascii="Calibri" w:hAnsi="Calibri"/>
          <w:sz w:val="21"/>
        </w:rPr>
        <w:t>image13.png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AD7522"/>
    <w:multiLevelType w:val="multilevel"/>
    <w:tmpl w:val="13AD75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  <w:rsid w:val="5EA1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table" w:styleId="5">
    <w:name w:val="Table Grid"/>
    <w:basedOn w:val="3"/>
    <w:qFormat/>
    <w:uiPriority w:val="39"/>
    <w:pPr>
      <w:widowControl w:val="0"/>
      <w:spacing w:after="0" w:line="240" w:lineRule="auto"/>
    </w:pPr>
    <w:rPr>
      <w:rFonts w:ascii="Arial" w:hAnsi="Arial" w:eastAsia="Arial" w:cs="Arial"/>
      <w:kern w:val="0"/>
      <w:lang w:eastAsia="en-IN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458</Words>
  <Characters>2751</Characters>
  <Lines>10</Lines>
  <Paragraphs>3</Paragraphs>
  <TotalTime>5917</TotalTime>
  <ScaleCrop>false</ScaleCrop>
  <LinksUpToDate>false</LinksUpToDate>
  <CharactersWithSpaces>3106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2024-01-27T08:24:00Z</dcterms:created>
  <dc:creator>Shivani Kapoor</dc:creator>
  <cp:lastModifiedBy>B Abitha</cp:lastModifiedBy>
  <dcterms:modified xsi:type="dcterms:W3CDTF">2026-10-08T12:18:42Z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eyJoZGlkIjoiODkzYjA3MzJiYTRhZWY0YjljYTkzNzY0YjhmM2MyMjkiLCJ1c2VySWQiOiI1Njc1NjUwODc5ODQifQ==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93F3FCD756E94CD6BF87B6598321D391_13</vt:lpwstr>
  </property>
</Properties>
</file>