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Technology Stack (Architecture &amp; Stack)</w:t>
      </w:r>
    </w:p>
    <w:p w14:paraId="00000003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18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22C7A1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eastAsia="Arial" w:cs="Arial"/>
                <w:lang w:val="en-IN"/>
              </w:rPr>
            </w:pPr>
            <w:r>
              <w:rPr>
                <w:rFonts w:hint="default" w:ascii="Arial" w:hAnsi="Arial" w:eastAsia="Arial" w:cs="Arial"/>
                <w:rtl w:val="0"/>
                <w:lang w:val="en-IN"/>
              </w:rPr>
              <w:t>08</w:t>
            </w:r>
            <w:r>
              <w:rPr>
                <w:rFonts w:ascii="Arial" w:hAnsi="Arial" w:eastAsia="Arial" w:cs="Arial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rtl w:val="0"/>
                <w:lang w:val="en-IN"/>
              </w:rPr>
              <w:t>october</w:t>
            </w:r>
            <w:r>
              <w:rPr>
                <w:rFonts w:ascii="Arial" w:hAnsi="Arial" w:eastAsia="Arial" w:cs="Arial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rtl w:val="0"/>
                <w:lang w:val="en-IN"/>
              </w:rPr>
              <w:t>2026</w:t>
            </w:r>
          </w:p>
        </w:tc>
      </w:tr>
      <w:tr w14:paraId="4E8CD9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6BDE294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Team id</w:t>
            </w:r>
            <w:bookmarkStart w:id="0" w:name="_GoBack"/>
            <w:bookmarkEnd w:id="0"/>
          </w:p>
        </w:tc>
        <w:tc>
          <w:p w14:paraId="542D08B4">
            <w:pPr>
              <w:spacing w:after="0" w:line="240" w:lineRule="auto"/>
            </w:pPr>
            <w:r>
              <w:t>9100Byte</w:t>
            </w:r>
          </w:p>
        </w:tc>
      </w:tr>
      <w:tr w14:paraId="3CF120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2F158D5E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Project Name</w:t>
            </w:r>
          </w:p>
        </w:tc>
        <w:tc>
          <w:tcPr>
            <w:shd w:val="clear" w:color="auto" w:fill="auto"/>
            <w:vAlign w:val="top"/>
          </w:tcPr>
          <w:p w14:paraId="00000009">
            <w:pPr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  <w:lang w:val="en-IN"/>
              </w:rPr>
            </w:pPr>
            <w:r>
              <w:t>Implement Client Script &amp; UI Policy (Incident)</w:t>
            </w:r>
          </w:p>
        </w:tc>
      </w:tr>
      <w:tr w14:paraId="3D86C7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 Marks</w:t>
            </w:r>
          </w:p>
        </w:tc>
      </w:tr>
    </w:tbl>
    <w:p w14:paraId="60E52DB8">
      <w:pPr>
        <w:rPr>
          <w:rFonts w:ascii="Arial" w:hAnsi="Arial" w:eastAsia="Arial" w:cs="Arial"/>
          <w:b/>
        </w:rPr>
      </w:pPr>
    </w:p>
    <w:p w14:paraId="0000000D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Technical Architecture:</w:t>
      </w:r>
    </w:p>
    <w:p w14:paraId="0000000E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The Deliverable shall include the architectural diagram as below and the information as per the table1 &amp; table 2</w:t>
      </w:r>
    </w:p>
    <w:p w14:paraId="0000000F">
      <w:pPr>
        <w:rPr>
          <w:rFonts w:ascii="Arial" w:hAnsi="Arial" w:eastAsia="Arial" w:cs="Arial"/>
          <w:b/>
        </w:rPr>
      </w:pPr>
      <w:r>
        <w:t>Solution Architecture: ServiceNow Incident Management using UI Policies and Client Scripts</w:t>
      </w:r>
    </w:p>
    <w:p w14:paraId="00000010">
      <w:pPr>
        <w:rPr>
          <w:rFonts w:ascii="Arial" w:hAnsi="Arial" w:eastAsia="Arial" w:cs="Arial"/>
          <w:b/>
        </w:rPr>
      </w:pPr>
      <w:r>
        <w:t>Reference: ServiceNow platform configuration for Incident form controls</w:t>
      </w:r>
    </w:p>
    <w:p w14:paraId="00000011">
      <w:pPr>
        <w:rPr>
          <w:rFonts w:ascii="Arial" w:hAnsi="Arial" w:eastAsia="Arial" w:cs="Arial"/>
          <w:b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3AD123">
                            <w:pPr>
                              <w:spacing w:before="0" w:after="160" w:line="25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 w14:paraId="7139E8E7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 w14:paraId="6CE872A6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 w14:paraId="0CCD15E6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 w14:paraId="46E36D93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 w14:paraId="70D6F0E2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7pt;margin-top:15pt;height:208pt;width:375.5pt;z-index:251659264;mso-width-relative:page;mso-height-relative:page;" fillcolor="#FFFFFF [3201]" filled="t" stroked="t" coordsize="21600,21600" o:gfxdata="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ORe1E2AAAAAsBAAAPAAAAAAAAAAEAIAAA&#10;ACIAAABkcnMvZG93bnJldi54bWxQSwECFAAUAAAACACHTuJAXjsMt0UCAAC1BAAADgAAAAAAAAAB&#10;ACAAAAAnAQAAZHJzL2Uyb0RvYy54bWxQSwUGAAAAAAYABgBZAQAA3gUAAAAA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663AD123">
                      <w:pPr>
                        <w:spacing w:before="0" w:after="160" w:line="258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hAnsi="Calibri" w:eastAsia="Calibri" w:cs="Calibri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>Guidelines:</w:t>
                      </w:r>
                    </w:p>
                    <w:p w14:paraId="7139E8E7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 w14:paraId="6CE872A6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 w14:paraId="0CCD15E6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 w14:paraId="46E36D93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 w14:paraId="70D6F0E2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0000012">
      <w:pPr>
        <w:rPr>
          <w:rFonts w:ascii="Arial" w:hAnsi="Arial" w:eastAsia="Arial" w:cs="Arial"/>
          <w:b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26255" cy="2482850"/>
            <wp:effectExtent l="0" t="0" r="0" b="0"/>
            <wp:wrapSquare wrapText="bothSides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13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br w:type="textWrapping"/>
      </w:r>
    </w:p>
    <w:p w14:paraId="00000014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5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6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7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8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9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A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B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C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Table-1 : Components &amp; Technologies:</w:t>
      </w:r>
    </w:p>
    <w:tbl>
      <w:tblPr>
        <w:tblStyle w:val="19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4020"/>
        <w:gridCol w:w="5205"/>
        <w:gridCol w:w="4140"/>
      </w:tblGrid>
      <w:tr w14:paraId="2139C5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p w14:paraId="5801310E">
            <w:r>
              <w:t>S.No</w:t>
            </w:r>
          </w:p>
        </w:tc>
        <w:tc>
          <w:p w14:paraId="40C0A982">
            <w:r>
              <w:t>Component</w:t>
            </w:r>
          </w:p>
        </w:tc>
        <w:tc>
          <w:p w14:paraId="63EE6649">
            <w:r>
              <w:t>Description</w:t>
            </w:r>
          </w:p>
        </w:tc>
        <w:tc>
          <w:p w14:paraId="4A6DAD9D">
            <w:r>
              <w:t>Technology</w:t>
            </w:r>
          </w:p>
        </w:tc>
      </w:tr>
      <w:tr w14:paraId="2214C4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</w:tcPr>
          <w:p w14:paraId="308405C8">
            <w:r>
              <w:t>1</w:t>
            </w:r>
          </w:p>
        </w:tc>
        <w:tc>
          <w:tcPr>
            <w:tcW w:w="4020" w:type="dxa"/>
          </w:tcPr>
          <w:p w14:paraId="48DB4072">
            <w:r>
              <w:t>User Interface</w:t>
            </w:r>
          </w:p>
        </w:tc>
        <w:tc>
          <w:tcPr>
            <w:tcW w:w="5205" w:type="dxa"/>
          </w:tcPr>
          <w:p w14:paraId="3162B4BB">
            <w:r>
              <w:t>Incident form and Incident list used by support agents to create, update, view, and manage Incident records.</w:t>
            </w:r>
          </w:p>
        </w:tc>
        <w:tc>
          <w:tcPr>
            <w:tcW w:w="4140" w:type="dxa"/>
          </w:tcPr>
          <w:p w14:paraId="77B7C49A">
            <w:r>
              <w:t>ServiceNow Incident Form / List UI</w:t>
            </w:r>
          </w:p>
        </w:tc>
      </w:tr>
      <w:tr w14:paraId="7F0798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</w:tcPr>
          <w:p w14:paraId="2A9FABEC">
            <w:r>
              <w:t>2</w:t>
            </w:r>
          </w:p>
        </w:tc>
        <w:tc>
          <w:tcPr>
            <w:tcW w:w="4020" w:type="dxa"/>
          </w:tcPr>
          <w:p w14:paraId="4AFB4263">
            <w:r>
              <w:t>Application Logic-1</w:t>
            </w:r>
          </w:p>
        </w:tc>
        <w:tc>
          <w:tcPr>
            <w:tcW w:w="5205" w:type="dxa"/>
          </w:tcPr>
          <w:p w14:paraId="48A939CA">
            <w:r>
              <w:t>Makes Assignment group mandatory when Impact is set to High.</w:t>
            </w:r>
          </w:p>
        </w:tc>
        <w:tc>
          <w:tcPr>
            <w:tcW w:w="4140" w:type="dxa"/>
          </w:tcPr>
          <w:p w14:paraId="64170540">
            <w:r>
              <w:t>UI Policy and UI Policy Actions</w:t>
            </w:r>
          </w:p>
        </w:tc>
      </w:tr>
      <w:tr w14:paraId="77B34B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</w:tcPr>
          <w:p w14:paraId="4A754D2D">
            <w:r>
              <w:t>3</w:t>
            </w:r>
          </w:p>
        </w:tc>
        <w:tc>
          <w:tcPr>
            <w:tcW w:w="4020" w:type="dxa"/>
          </w:tcPr>
          <w:p w14:paraId="6D778816">
            <w:r>
              <w:t>Application Logic-2</w:t>
            </w:r>
          </w:p>
        </w:tc>
        <w:tc>
          <w:tcPr>
            <w:tcW w:w="5205" w:type="dxa"/>
          </w:tcPr>
          <w:p w14:paraId="5598B38A">
            <w:r>
              <w:t>Makes the Urgency field read-only when Impact is High.</w:t>
            </w:r>
          </w:p>
        </w:tc>
        <w:tc>
          <w:tcPr>
            <w:tcW w:w="4140" w:type="dxa"/>
          </w:tcPr>
          <w:p w14:paraId="112F59B7">
            <w:r>
              <w:t>UI Policy and UI Policy Actions</w:t>
            </w:r>
          </w:p>
        </w:tc>
      </w:tr>
      <w:tr w14:paraId="39A31B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</w:tcPr>
          <w:p w14:paraId="2723F1F2">
            <w:r>
              <w:t>4</w:t>
            </w:r>
          </w:p>
        </w:tc>
        <w:tc>
          <w:tcPr>
            <w:tcW w:w="4020" w:type="dxa"/>
          </w:tcPr>
          <w:p w14:paraId="2C94734F">
            <w:r>
              <w:t>Application Logic-3</w:t>
            </w:r>
          </w:p>
        </w:tc>
        <w:tc>
          <w:tcPr>
            <w:tcW w:w="5205" w:type="dxa"/>
          </w:tcPr>
          <w:p w14:paraId="78D366B9">
            <w:r>
              <w:t>Automatically sets Urgency to High when Impact changes to High and displays an information message.</w:t>
            </w:r>
          </w:p>
        </w:tc>
        <w:tc>
          <w:tcPr>
            <w:tcW w:w="4140" w:type="dxa"/>
          </w:tcPr>
          <w:p w14:paraId="3DF78AB9">
            <w:r>
              <w:t>onChange Client Script</w:t>
            </w:r>
          </w:p>
        </w:tc>
      </w:tr>
      <w:tr w14:paraId="0FAE71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</w:tcPr>
          <w:p w14:paraId="7B8200A6">
            <w:r>
              <w:t>5</w:t>
            </w:r>
          </w:p>
        </w:tc>
        <w:tc>
          <w:tcPr>
            <w:tcW w:w="4020" w:type="dxa"/>
          </w:tcPr>
          <w:p w14:paraId="2559E352">
            <w:r>
              <w:t>Application Logic-4</w:t>
            </w:r>
          </w:p>
        </w:tc>
        <w:tc>
          <w:tcPr>
            <w:tcW w:w="5205" w:type="dxa"/>
          </w:tcPr>
          <w:p w14:paraId="627EB10E">
            <w:r>
              <w:t>Prevents a High-impact Incident from being saved when Assigned To is empty.</w:t>
            </w:r>
          </w:p>
        </w:tc>
        <w:tc>
          <w:tcPr>
            <w:tcW w:w="4140" w:type="dxa"/>
          </w:tcPr>
          <w:p w14:paraId="1B744994">
            <w:r>
              <w:t>onSubmit Client Script</w:t>
            </w:r>
          </w:p>
        </w:tc>
      </w:tr>
      <w:tr w14:paraId="73E252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</w:tcPr>
          <w:p w14:paraId="10AC35BE">
            <w:r>
              <w:t>6</w:t>
            </w:r>
          </w:p>
        </w:tc>
        <w:tc>
          <w:tcPr>
            <w:tcW w:w="4020" w:type="dxa"/>
          </w:tcPr>
          <w:p w14:paraId="5F77433C">
            <w:r>
              <w:t>Application Logic-5</w:t>
            </w:r>
          </w:p>
        </w:tc>
        <w:tc>
          <w:tcPr>
            <w:tcW w:w="5205" w:type="dxa"/>
          </w:tcPr>
          <w:p w14:paraId="429A6D72">
            <w:r>
              <w:t>Prevents direct State modification from the Incident list and asks the user to open the record.</w:t>
            </w:r>
          </w:p>
        </w:tc>
        <w:tc>
          <w:tcPr>
            <w:tcW w:w="4140" w:type="dxa"/>
          </w:tcPr>
          <w:p w14:paraId="5B59A0CA">
            <w:r>
              <w:t>onCellEdit Client Script</w:t>
            </w:r>
          </w:p>
        </w:tc>
      </w:tr>
      <w:tr w14:paraId="4F9838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</w:tcPr>
          <w:p w14:paraId="439DF783">
            <w:r>
              <w:t>7</w:t>
            </w:r>
          </w:p>
        </w:tc>
        <w:tc>
          <w:tcPr>
            <w:tcW w:w="4020" w:type="dxa"/>
          </w:tcPr>
          <w:p w14:paraId="04373F67">
            <w:r>
              <w:t>Database</w:t>
            </w:r>
          </w:p>
        </w:tc>
        <w:tc>
          <w:tcPr>
            <w:tcW w:w="5205" w:type="dxa"/>
          </w:tcPr>
          <w:p w14:paraId="78D63E3D">
            <w:r>
              <w:t>Stores Incident records, field values, assignments, state, impact, urgency, and other Incident information.</w:t>
            </w:r>
          </w:p>
        </w:tc>
        <w:tc>
          <w:tcPr>
            <w:tcW w:w="4140" w:type="dxa"/>
          </w:tcPr>
          <w:p w14:paraId="41EF0147">
            <w:r>
              <w:t>ServiceNow Platform Database</w:t>
            </w:r>
          </w:p>
        </w:tc>
      </w:tr>
      <w:tr w14:paraId="52DD29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</w:tcPr>
          <w:p w14:paraId="7F7F8E2D">
            <w:r>
              <w:t>8</w:t>
            </w:r>
          </w:p>
        </w:tc>
        <w:tc>
          <w:tcPr>
            <w:tcW w:w="4020" w:type="dxa"/>
          </w:tcPr>
          <w:p w14:paraId="0B26E061">
            <w:r>
              <w:t>File Storage</w:t>
            </w:r>
          </w:p>
        </w:tc>
        <w:tc>
          <w:tcPr>
            <w:tcW w:w="5205" w:type="dxa"/>
          </w:tcPr>
          <w:p w14:paraId="52369796">
            <w:r>
              <w:t>No separate file storage is required for the core configuration.</w:t>
            </w:r>
          </w:p>
        </w:tc>
        <w:tc>
          <w:tcPr>
            <w:tcW w:w="4140" w:type="dxa"/>
          </w:tcPr>
          <w:p w14:paraId="3BD45DD6">
            <w:r>
              <w:t>ServiceNow Instance Storage</w:t>
            </w:r>
          </w:p>
        </w:tc>
      </w:tr>
      <w:tr w14:paraId="1755A1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</w:tcPr>
          <w:p w14:paraId="464C2E69">
            <w:r>
              <w:t>9</w:t>
            </w:r>
          </w:p>
        </w:tc>
        <w:tc>
          <w:tcPr>
            <w:tcW w:w="4020" w:type="dxa"/>
          </w:tcPr>
          <w:p w14:paraId="2E564B5E">
            <w:r>
              <w:t>External API-1</w:t>
            </w:r>
          </w:p>
        </w:tc>
        <w:tc>
          <w:tcPr>
            <w:tcW w:w="5205" w:type="dxa"/>
          </w:tcPr>
          <w:p w14:paraId="15F1D1CE">
            <w:r>
              <w:t>No external API is required for the core solution.</w:t>
            </w:r>
          </w:p>
        </w:tc>
        <w:tc>
          <w:tcPr>
            <w:tcW w:w="4140" w:type="dxa"/>
          </w:tcPr>
          <w:p w14:paraId="404D5DB7">
            <w:r>
              <w:t>Not Applicable</w:t>
            </w:r>
          </w:p>
        </w:tc>
      </w:tr>
      <w:tr w14:paraId="652409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</w:tcPr>
          <w:p w14:paraId="04EAC7CA">
            <w:r>
              <w:t>10</w:t>
            </w:r>
          </w:p>
        </w:tc>
        <w:tc>
          <w:tcPr>
            <w:tcW w:w="4020" w:type="dxa"/>
          </w:tcPr>
          <w:p w14:paraId="04477E0E">
            <w:r>
              <w:t>External API-2</w:t>
            </w:r>
          </w:p>
        </w:tc>
        <w:tc>
          <w:tcPr>
            <w:tcW w:w="5205" w:type="dxa"/>
          </w:tcPr>
          <w:p w14:paraId="76ACADC8">
            <w:r>
              <w:t>No external API is required for the core solution.</w:t>
            </w:r>
          </w:p>
        </w:tc>
        <w:tc>
          <w:tcPr>
            <w:tcW w:w="4140" w:type="dxa"/>
          </w:tcPr>
          <w:p w14:paraId="0D2ED012">
            <w:r>
              <w:t>Not Applicable</w:t>
            </w:r>
          </w:p>
        </w:tc>
      </w:tr>
      <w:tr w14:paraId="69B710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0" w:type="dxa"/>
          </w:tcPr>
          <w:p w14:paraId="11761171">
            <w:r>
              <w:t>11</w:t>
            </w:r>
          </w:p>
        </w:tc>
        <w:tc>
          <w:tcPr>
            <w:tcW w:w="4020" w:type="dxa"/>
          </w:tcPr>
          <w:p w14:paraId="47E6C1B9">
            <w:r>
              <w:t>Machine Learning Model</w:t>
            </w:r>
          </w:p>
        </w:tc>
        <w:tc>
          <w:tcPr>
            <w:tcW w:w="5205" w:type="dxa"/>
          </w:tcPr>
          <w:p w14:paraId="75248E94">
            <w:r>
              <w:t>No machine learning model is required because the solution uses rule-based ServiceNow configuration.</w:t>
            </w:r>
          </w:p>
        </w:tc>
        <w:tc>
          <w:tcPr>
            <w:tcW w:w="4140" w:type="dxa"/>
          </w:tcPr>
          <w:p w14:paraId="10588AC7">
            <w:r>
              <w:t>Not Applicable</w:t>
            </w:r>
          </w:p>
        </w:tc>
      </w:tr>
    </w:tbl>
    <w:p w14:paraId="00000050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51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Table-2: Application Characteristics:</w:t>
      </w:r>
    </w:p>
    <w:tbl>
      <w:tblPr>
        <w:tblStyle w:val="20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0B0C6F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p w14:paraId="57B2FC47">
            <w:r>
              <w:t>S.No</w:t>
            </w:r>
          </w:p>
        </w:tc>
        <w:tc>
          <w:p w14:paraId="79921BEA">
            <w:r>
              <w:t>Characteristics</w:t>
            </w:r>
          </w:p>
        </w:tc>
        <w:tc>
          <w:p w14:paraId="36ECA9A4">
            <w:r>
              <w:t>Description</w:t>
            </w:r>
          </w:p>
        </w:tc>
        <w:tc>
          <w:p w14:paraId="2453BBA2">
            <w:r>
              <w:t xml:space="preserve">Technology </w:t>
            </w:r>
          </w:p>
        </w:tc>
      </w:tr>
      <w:tr w14:paraId="44E87C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" w:type="dxa"/>
          </w:tcPr>
          <w:p w14:paraId="37E16B46">
            <w:r>
              <w:t>1</w:t>
            </w:r>
          </w:p>
        </w:tc>
        <w:tc>
          <w:tcPr>
            <w:tcW w:w="3969" w:type="dxa"/>
          </w:tcPr>
          <w:p w14:paraId="61F28101">
            <w:r>
              <w:t>Open-Source Frameworks</w:t>
            </w:r>
          </w:p>
        </w:tc>
        <w:tc>
          <w:tcPr>
            <w:tcW w:w="5170" w:type="dxa"/>
          </w:tcPr>
          <w:p w14:paraId="1975273D">
            <w:r>
              <w:t>No external open-source framework is required for the core ServiceNow configuration.</w:t>
            </w:r>
          </w:p>
        </w:tc>
        <w:tc>
          <w:tcPr>
            <w:tcW w:w="4097" w:type="dxa"/>
          </w:tcPr>
          <w:p w14:paraId="7DF35818">
            <w:r>
              <w:t>ServiceNow platform scripting/configuration</w:t>
            </w:r>
          </w:p>
        </w:tc>
      </w:tr>
      <w:tr w14:paraId="695762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" w:type="dxa"/>
          </w:tcPr>
          <w:p w14:paraId="400B5F3C">
            <w:r>
              <w:t>2</w:t>
            </w:r>
          </w:p>
        </w:tc>
        <w:tc>
          <w:tcPr>
            <w:tcW w:w="3969" w:type="dxa"/>
          </w:tcPr>
          <w:p w14:paraId="0FA89534">
            <w:r>
              <w:t>Security Implementations</w:t>
            </w:r>
          </w:p>
        </w:tc>
        <w:tc>
          <w:tcPr>
            <w:tcW w:w="5170" w:type="dxa"/>
          </w:tcPr>
          <w:p w14:paraId="1A9E90B3">
            <w:r>
              <w:t>Mandatory-field validation, read-only control, save-time validation, and list-edit restriction improve Incident record integrity.</w:t>
            </w:r>
          </w:p>
        </w:tc>
        <w:tc>
          <w:tcPr>
            <w:tcW w:w="4097" w:type="dxa"/>
          </w:tcPr>
          <w:p w14:paraId="3A70DA12">
            <w:r>
              <w:t>UI Policy, Client Script validation</w:t>
            </w:r>
          </w:p>
        </w:tc>
      </w:tr>
      <w:tr w14:paraId="40A48A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" w:type="dxa"/>
          </w:tcPr>
          <w:p w14:paraId="29950181">
            <w:r>
              <w:t>3</w:t>
            </w:r>
          </w:p>
        </w:tc>
        <w:tc>
          <w:tcPr>
            <w:tcW w:w="3969" w:type="dxa"/>
          </w:tcPr>
          <w:p w14:paraId="102BB550">
            <w:r>
              <w:t>Scalable Architecture</w:t>
            </w:r>
          </w:p>
        </w:tc>
        <w:tc>
          <w:tcPr>
            <w:tcW w:w="5170" w:type="dxa"/>
          </w:tcPr>
          <w:p w14:paraId="214837B8">
            <w:r>
              <w:t>The solution separates Incident behavior into UI Policies and dedicated onChange, onSubmit, and onCellEdit Client Scripts.</w:t>
            </w:r>
          </w:p>
        </w:tc>
        <w:tc>
          <w:tcPr>
            <w:tcW w:w="4097" w:type="dxa"/>
          </w:tcPr>
          <w:p w14:paraId="6AC5E5B1">
            <w:r>
              <w:t>ServiceNow configuration</w:t>
            </w:r>
          </w:p>
        </w:tc>
      </w:tr>
      <w:tr w14:paraId="279D54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" w:type="dxa"/>
          </w:tcPr>
          <w:p w14:paraId="79EB2978">
            <w:r>
              <w:t>4</w:t>
            </w:r>
          </w:p>
        </w:tc>
        <w:tc>
          <w:tcPr>
            <w:tcW w:w="3969" w:type="dxa"/>
          </w:tcPr>
          <w:p w14:paraId="6D0CF03E">
            <w:r>
              <w:t>Availability</w:t>
            </w:r>
          </w:p>
        </w:tc>
        <w:tc>
          <w:tcPr>
            <w:tcW w:w="5170" w:type="dxa"/>
          </w:tcPr>
          <w:p w14:paraId="6AB14ABD">
            <w:r>
              <w:t>The configured controls operate whenever the Incident form or list is available in the ServiceNow instance.</w:t>
            </w:r>
          </w:p>
        </w:tc>
        <w:tc>
          <w:tcPr>
            <w:tcW w:w="4097" w:type="dxa"/>
          </w:tcPr>
          <w:p w14:paraId="76244A02">
            <w:r>
              <w:t>ServiceNow Cloud Platform</w:t>
            </w:r>
          </w:p>
        </w:tc>
      </w:tr>
      <w:tr w14:paraId="2FE8E1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" w:type="dxa"/>
          </w:tcPr>
          <w:p w14:paraId="3FD04E8A">
            <w:r>
              <w:t>5</w:t>
            </w:r>
          </w:p>
        </w:tc>
        <w:tc>
          <w:tcPr>
            <w:tcW w:w="3969" w:type="dxa"/>
          </w:tcPr>
          <w:p w14:paraId="3D0F30ED">
            <w:r>
              <w:t>Performance</w:t>
            </w:r>
          </w:p>
        </w:tc>
        <w:tc>
          <w:tcPr>
            <w:tcW w:w="5170" w:type="dxa"/>
          </w:tcPr>
          <w:p w14:paraId="22467123">
            <w:r>
              <w:t>Client-side rules respond to field changes, save events, and list edits without requiring separate application servers.</w:t>
            </w:r>
          </w:p>
        </w:tc>
        <w:tc>
          <w:tcPr>
            <w:tcW w:w="4097" w:type="dxa"/>
          </w:tcPr>
          <w:p w14:paraId="67338201">
            <w:r>
              <w:t>Client-side UI Policy / Client Scripts</w:t>
            </w:r>
          </w:p>
        </w:tc>
      </w:tr>
    </w:tbl>
    <w:p w14:paraId="0000006A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6B">
      <w:pPr>
        <w:rPr>
          <w:rFonts w:ascii="Arial" w:hAnsi="Arial" w:eastAsia="Arial" w:cs="Arial"/>
          <w:b/>
        </w:rPr>
      </w:pPr>
    </w:p>
    <w:p w14:paraId="0000006C">
      <w:pPr>
        <w:rPr>
          <w:rFonts w:ascii="Arial" w:hAnsi="Arial" w:eastAsia="Arial" w:cs="Arial"/>
          <w:b/>
        </w:rPr>
      </w:pPr>
      <w:r>
        <w:t>References:</w:t>
      </w:r>
      <w:r>
        <w:br w:type="textWrapping"/>
      </w:r>
      <w:r>
        <w:t>ServiceNow Incident Management configuration concepts; UI Policies; Client Scripts (onChange, onSubmit, onCellEdit).</w:t>
      </w:r>
    </w:p>
    <w:p w14:paraId="0000006D">
      <w:pPr>
        <w:rPr>
          <w:rFonts w:ascii="Arial" w:hAnsi="Arial" w:eastAsia="Arial" w:cs="Arial"/>
          <w:b/>
        </w:rPr>
      </w:pPr>
    </w:p>
    <w:p w14:paraId="0000006E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"https://developer.ibm.com/patterns/online-order-processing-system-during-pandemic/"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https://developer.ibm.com/patterns/online-order-processing-system-during-pandemic/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6F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"https://www.ibm.com/cloud/architecture"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https://www.ibm.com/cloud/architecture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70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"https://aws.amazon.com/architecture"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https://aws.amazon.com/architecture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71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"https://medium.com/the-internal-startup/how-to-draw-useful-technical-architecture-diagrams-2d20c9fda90d"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https://medium.com/the-internal-startup/how-to-draw-useful-technical-architecture-diagrams-2d20c9fda90d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72">
      <w:pPr>
        <w:rPr>
          <w:rFonts w:ascii="Arial" w:hAnsi="Arial" w:eastAsia="Arial" w:cs="Arial"/>
          <w:b/>
        </w:rPr>
      </w:pPr>
    </w:p>
    <w:p w14:paraId="00000073">
      <w:pPr>
        <w:rPr>
          <w:rFonts w:ascii="Arial" w:hAnsi="Arial" w:eastAsia="Arial" w:cs="Arial"/>
          <w:b/>
        </w:rPr>
      </w:pPr>
    </w:p>
    <w:p w14:paraId="00000074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19C1CE4"/>
    <w:rsid w:val="28031AAD"/>
    <w:rsid w:val="4B826DE8"/>
    <w:rsid w:val="539A61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80" w:after="120" w:line="259" w:lineRule="auto"/>
    </w:pPr>
    <w:rPr>
      <w:rFonts w:ascii="Calibri" w:hAnsi="Calibri" w:eastAsia="Calibri" w:cs="Calibri"/>
      <w:b/>
      <w:sz w:val="48"/>
      <w:szCs w:val="48"/>
      <w:lang w:val="en-I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80" w:line="259" w:lineRule="auto"/>
    </w:pPr>
    <w:rPr>
      <w:rFonts w:ascii="Calibri" w:hAnsi="Calibri" w:eastAsia="Calibri" w:cs="Calibri"/>
      <w:b/>
      <w:sz w:val="36"/>
      <w:szCs w:val="36"/>
      <w:lang w:val="en-I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280" w:after="80" w:line="259" w:lineRule="auto"/>
    </w:pPr>
    <w:rPr>
      <w:rFonts w:ascii="Calibri" w:hAnsi="Calibri" w:eastAsia="Calibri" w:cs="Calibri"/>
      <w:b/>
      <w:sz w:val="28"/>
      <w:szCs w:val="28"/>
      <w:lang w:val="en-I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40" w:after="40" w:line="259" w:lineRule="auto"/>
    </w:pPr>
    <w:rPr>
      <w:rFonts w:ascii="Calibri" w:hAnsi="Calibri" w:eastAsia="Calibri" w:cs="Calibri"/>
      <w:b/>
      <w:sz w:val="24"/>
      <w:szCs w:val="24"/>
      <w:lang w:val="en-I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20" w:after="40" w:line="259" w:lineRule="auto"/>
    </w:pPr>
    <w:rPr>
      <w:rFonts w:ascii="Calibri" w:hAnsi="Calibri" w:eastAsia="Calibri" w:cs="Calibri"/>
      <w:b/>
      <w:sz w:val="22"/>
      <w:szCs w:val="22"/>
      <w:lang w:val="en-I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00" w:after="40" w:line="259" w:lineRule="auto"/>
    </w:pPr>
    <w:rPr>
      <w:rFonts w:ascii="Calibri" w:hAnsi="Calibri" w:eastAsia="Calibri" w:cs="Calibri"/>
      <w:b/>
      <w:sz w:val="20"/>
      <w:szCs w:val="20"/>
      <w:lang w:val="en-I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next w:val="1"/>
    <w:uiPriority w:val="0"/>
    <w:pPr>
      <w:keepNext/>
      <w:keepLines/>
      <w:pageBreakBefore w:val="0"/>
      <w:spacing w:before="360" w:after="80" w:line="259" w:lineRule="auto"/>
    </w:pPr>
    <w:rPr>
      <w:rFonts w:ascii="Georgia" w:hAnsi="Georgia" w:eastAsia="Georgia" w:cs="Georgia"/>
      <w:i/>
      <w:color w:val="666666"/>
      <w:sz w:val="48"/>
      <w:szCs w:val="48"/>
      <w:lang w:val="en-IN"/>
    </w:rPr>
  </w:style>
  <w:style w:type="table" w:styleId="12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Normal"/>
    <w:qFormat/>
    <w:uiPriority w:val="0"/>
  </w:style>
  <w:style w:type="paragraph" w:styleId="14">
    <w:name w:val="Title"/>
    <w:next w:val="1"/>
    <w:qFormat/>
    <w:uiPriority w:val="0"/>
    <w:pPr>
      <w:keepNext/>
      <w:keepLines/>
      <w:pageBreakBefore w:val="0"/>
      <w:spacing w:before="480" w:after="120" w:line="259" w:lineRule="auto"/>
    </w:pPr>
    <w:rPr>
      <w:rFonts w:ascii="Calibri" w:hAnsi="Calibri" w:eastAsia="Calibri" w:cs="Calibri"/>
      <w:b/>
      <w:sz w:val="72"/>
      <w:szCs w:val="72"/>
      <w:lang w:val="en-IN"/>
    </w:rPr>
  </w:style>
  <w:style w:type="table" w:customStyle="1" w:styleId="15">
    <w:name w:val="Table Normal1"/>
    <w:qFormat/>
    <w:uiPriority w:val="0"/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26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27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28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30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31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3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409</Words>
  <Characters>2826</Characters>
  <TotalTime>2</TotalTime>
  <ScaleCrop>false</ScaleCrop>
  <LinksUpToDate>false</LinksUpToDate>
  <CharactersWithSpaces>3145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B Abitha</cp:lastModifiedBy>
  <dcterms:modified xsi:type="dcterms:W3CDTF">2026-10-08T11:56:30Z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eyJoZGlkIjoiODkzYjA3MzJiYTRhZWY0YjljYTkzNzY0YjhmM2MyMjkiLCJ1c2VySWQiOiI1Njc1NjUwODc5ODQifQ==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44F955FD94DF439C8C36225788BC8829_12</vt:lpwstr>
  </property>
</Properties>
</file>