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44"/>
        </w:rPr>
        <w:t>Email Threat Classification Using Machine Learning</w:t>
      </w:r>
    </w:p>
    <w:p>
      <w:pPr>
        <w:spacing w:after="240"/>
        <w:jc w:val="center"/>
      </w:pPr>
      <w:r>
        <w:rPr>
          <w:rFonts w:ascii="Calibri" w:hAnsi="Calibri"/>
          <w:i/>
          <w:color w:val="4472C4"/>
          <w:sz w:val="26"/>
        </w:rPr>
        <w:t>Investigating Observable Structural Characteristics for Zero-Cost Threat Detection</w:t>
      </w:r>
    </w:p>
    <w:p>
      <w:pPr>
        <w:spacing w:after="360"/>
        <w:jc w:val="center"/>
      </w:pPr>
      <w:r>
        <w:rPr>
          <w:rFonts w:ascii="Calibri" w:hAnsi="Calibri"/>
          <w:color w:val="595959"/>
          <w:sz w:val="19"/>
        </w:rPr>
        <w:t>Academic Capstone Technical Paper  •  Domain: Cybersecurity &amp; Machine Learning</w:t>
        <w:br/>
        <w:t>Dataset DOI: 10.34740/KAGGLE/DS/5074342  •  Lead Compiler: Naser Abdullah Alam (2024)</w:t>
        <w:br/>
        <w:t>Evaluated Models: Logistic Regression, K-Nearest Neighbors (KNN), Decision Tree</w:t>
      </w:r>
    </w:p>
    <w:p>
      <w:pPr>
        <w:spacing w:after="280"/>
        <w:pBdr>
          <w:bottom w:val="single" w:sz="12" w:space="1" w:color="1F4E79"/>
        </w:pBdr>
      </w:pPr>
    </w:p>
    <w:p>
      <w:pPr>
        <w:keepNext/>
        <w:spacing w:before="360" w:after="120"/>
      </w:pPr>
      <w:r>
        <w:rPr>
          <w:rFonts w:ascii="Calibri" w:hAnsi="Calibri"/>
          <w:b/>
          <w:color w:val="1F4E79"/>
          <w:sz w:val="29"/>
        </w:rPr>
        <w:t>1. Abstract</w:t>
      </w:r>
    </w:p>
    <w:tbl>
      <w:tblPr>
        <w:tblW w:type="auto" w:w="0"/>
        <w:jc w:val="center"/>
        <w:tblLook w:firstColumn="1" w:firstRow="1" w:lastColumn="0" w:lastRow="0" w:noHBand="0" w:noVBand="1" w:val="04A0"/>
      </w:tblPr>
      <w:tblGrid>
        <w:gridCol w:w="9360"/>
      </w:tblGrid>
      <w:tr>
        <w:tc>
          <w:tcPr>
            <w:tcW w:type="dxa" w:w="9360"/>
            <w:shd w:fill="F2F5F9"/>
            <w:tcMar>
              <w:top w:w="160" w:type="dxa"/>
              <w:bottom w:w="160" w:type="dxa"/>
              <w:left w:w="200" w:type="dxa"/>
              <w:right w:w="200" w:type="dxa"/>
            </w:tcMar>
            <w:tcBorders>
              <w:left w:val="single" w:sz="24" w:space="0" w:color="1F4E79"/>
              <w:top w:val="none"/>
              <w:right w:val="none"/>
              <w:bottom w:val="none"/>
            </w:tcBorders>
          </w:tcPr>
          <w:p>
            <w:pPr>
              <w:spacing w:after="0" w:line="276" w:lineRule="auto"/>
            </w:pPr>
            <w:r>
              <w:rPr>
                <w:i/>
                <w:sz w:val="20"/>
              </w:rPr>
              <w:t>Context: Electronic mail remains the predominant initial compromise vector for organizational security breaches, facilitating credential harvesting, financial fraud, and malware distribution. While deep language models demonstrate high accuracy, their computational overhead, latency, and opacity present substantial impediments to client-side edge deployment.</w:t>
              <w:br/>
              <w:br/>
              <w:t>Aim/Objectives: This research investigates whether objectively measurable, structural email characteristics—independent of opaque neural representations—reliably distinguish threatening phishing communications from routine correspondence within a zero-cost, foundational machine learning paradigm.</w:t>
              <w:br/>
              <w:br/>
              <w:t>Methodology: Utilizing an aggregated benchmark corpus of 82,486 email instances derived from six foundational collections (CEAS 2008, Enron, Ling-Spam, Nazario, Nigerian 419, and SpamAssassin), we engineered 20 deterministic structural predictors. To guarantee zero data leakage, an 80/20 stratified holdout split (N_train = 65,912; N_test = 16,479) was executed prior to fitting Scikit-learn ColumnTransformer pipelines across Logistic Regression, K-Nearest Neighbors (k=5), and Decision Tree (max_depth=12).</w:t>
              <w:br/>
              <w:br/>
              <w:t>Results: Empirical evaluation on the held-out test partition demonstrated that non-linear recursive partitioning strongly outperforms linear boundaries. The Decision Tree pipeline achieved 89.64% Accuracy, 92.00% Precision, 87.69% Recall, 89.79% F1-score, and an ROC-AUC of 0.9553, yielding only 653 False Positives out of 7,918 legitimate emails. K-Nearest Neighbors achieved 88.06% Accuracy and 0.9406 ROC-AUC but exhibited an order-of-magnitude higher inference latency. Logistic Regression attained 74.34% Accuracy.</w:t>
              <w:br/>
              <w:br/>
              <w:t>Conclusion: Observable structural indicators enable sub-millisecond, zero-cost, and explainable threat classification suitable for student viva defense and client-side email triage without proprietary cloud APIs or GPU infrastructure.</w:t>
            </w:r>
          </w:p>
        </w:tc>
      </w:tr>
    </w:tbl>
    <w:p>
      <w:pPr>
        <w:keepNext/>
        <w:spacing w:before="360" w:after="120"/>
      </w:pPr>
      <w:r>
        <w:rPr>
          <w:rFonts w:ascii="Calibri" w:hAnsi="Calibri"/>
          <w:b/>
          <w:color w:val="1F4E79"/>
          <w:sz w:val="29"/>
        </w:rPr>
        <w:t>2. Introduction</w:t>
      </w:r>
    </w:p>
    <w:p>
      <w:r>
        <w:t>Phishing attacks represent the principal attack surface confronting modern digital enterprises. According to the 2024 Verizon Data Breach Investigations Report, phishing and stolen credentials continue to account for the vast majority of initial unauthorized access events globally. Threat actors exploit human cognitive heuristics—crafting alarming subject lines, forging corporate visual layouts, and creating psychological urgency—to induce recipients into interacting with credential-harvesting hyperlinks or executing malicious file attachments.</w:t>
      </w:r>
    </w:p>
    <w:p>
      <w:r>
        <w:t>Contemporary commercial cybersecurity systems typically deploy multi-tiered cloud gateways incorporating dynamic sandbox execution, domain reputation APIs, and large-scale deep neural networks. While effective in enterprise perimeters, such solutions introduce significant financial barriers, privacy concerns regarding external data exfiltration, and substantial execution latency. In educational and edge computing settings, there is a profound requirement for transparent, explainable, and zero-cost machine learning architectures that execute locally and remain inspectable for technical review.</w:t>
      </w:r>
    </w:p>
    <w:p>
      <w:r>
        <w:t>This capstone technical paper presents an end-to-end investigation into whether observable, measurable structural features (such as character lengths, URL counts, keyword distributions, punctuation frequencies, and HTML indicators) provide sufficient discriminative signal to classify emails accurately into Routine/Legitimate or Threatening/Phishing categories without relying on proprietary APIs or heavy neural architectures.</w:t>
      </w:r>
    </w:p>
    <w:p>
      <w:pPr>
        <w:keepNext/>
        <w:spacing w:before="360" w:after="120"/>
      </w:pPr>
      <w:r>
        <w:rPr>
          <w:rFonts w:ascii="Calibri" w:hAnsi="Calibri"/>
          <w:b/>
          <w:color w:val="1F4E79"/>
          <w:sz w:val="29"/>
        </w:rPr>
        <w:t>3. Problem Definition</w:t>
      </w:r>
    </w:p>
    <w:p>
      <w:r>
        <w:t>The email threat classification problem is mathematically formulated as a supervised binary classification task. Let D = {(x_i, y_i)}_{i=1}^{N} denote an experimental dataset comprising N email instances. Each email e_i is mapped to a d-dimensional numerical feature vector x_i = phi(e_i) in R^d (where d = 20), capturing observable structural properties.</w:t>
      </w:r>
    </w:p>
    <w:p>
      <w:r>
        <w:t>The ground-truth target variable is defined as a binary scalar y_i in {0, 1}:</w:t>
        <w:br/>
        <w:t xml:space="preserve">  • Class 0 (Routine / Legitimate): Interpersonal communications, corporate memos, project updates, and normal conversational messages.</w:t>
        <w:br/>
        <w:t xml:space="preserve">  • Class 1 (Threatening / Phishing): Fraudulent messages designed to deceive recipients into surrendering passwords, financial details, or opening malicious attachments.</w:t>
      </w:r>
    </w:p>
    <w:p>
      <w:r>
        <w:t>The research goal is to learn an optimal decision hypothesis h: R^d -&gt; [0, 1] estimating the posterior threat probability p_hat_i = P(y_i = 1 | x_i), subject to a decision threshold tau = 0.50. The model must minimize both False Positives (legitimate emails erroneously blocked) and False Negatives (malicious threats admitted into inboxes).</w:t>
      </w:r>
    </w:p>
    <w:p>
      <w:pPr>
        <w:keepNext/>
        <w:spacing w:before="360" w:after="120"/>
      </w:pPr>
      <w:r>
        <w:rPr>
          <w:rFonts w:ascii="Calibri" w:hAnsi="Calibri"/>
          <w:b/>
          <w:color w:val="1F4E79"/>
          <w:sz w:val="29"/>
        </w:rPr>
        <w:t>4. Related Work</w:t>
      </w:r>
    </w:p>
    <w:p>
      <w:r>
        <w:t>Automated spam and phishing classification originated with naive Bayesian probabilistic models operating on bag-of-words (BoW) lexical representations (Sahami et al., 1998; Androutsopoulos et al., 2000). While foundational, lexical token matching proved vulnerable to deliberate adversarial obfuscation, intentional misspellings (e.g., 'p@ssword'), and 'good-word stuffing' designed to artificially dilute spam scores.</w:t>
      </w:r>
    </w:p>
    <w:p>
      <w:r>
        <w:t>To overcome lexical fragility, researchers pioneered the extraction of structural and behavioral email characteristics. Fette et al. (2007) demonstrated that structural properties—including URL counts, discrepancies between displayed link text and actual destination domains, and the presence of HTML forms—yielded classifiers that achieved higher robustness against vocabulary drift. Basnet et al. (2008) expanded structural analysis by evaluating multiple supervised algorithms (including Support Vector Machines and Decision Trees), observing that non-linear decision surfaces excelled at capturing multi-attribute threat signatures.</w:t>
      </w:r>
    </w:p>
    <w:p>
      <w:r>
        <w:t>Recent trends have favored transformer-based deep language models such as BERT and DistilBERT (Lee et al., 2020). Although transformers capture semantic subtleties, their operational cost, multi-second inference latency, and black-box nature make them ill-suited for explainable capstone defenses and zero-cost local execution. This study revisits and modernizes structural feature methodology, systematically benchmarking foundational classifiers on a large multi-source corpus.</w:t>
      </w:r>
    </w:p>
    <w:p>
      <w:pPr>
        <w:keepNext/>
        <w:spacing w:before="360" w:after="120"/>
      </w:pPr>
      <w:r>
        <w:rPr>
          <w:rFonts w:ascii="Calibri" w:hAnsi="Calibri"/>
          <w:b/>
          <w:color w:val="1F4E79"/>
          <w:sz w:val="29"/>
        </w:rPr>
        <w:t>5. Dataset</w:t>
      </w:r>
    </w:p>
    <w:p>
      <w:r>
        <w:t>The project utilizes the Phishing Email Dataset compiled by Naser Abdullah Alam (2024), hosted on Kaggle with DOI: 10.34740/KAGGLE/DS/5074342. The repository consolidates six renowned public cybersecurity email collections into a unified corpus of 82,486 records, totaling approximately 256 MB of raw data.</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560"/>
        <w:gridCol w:w="1560"/>
        <w:gridCol w:w="1560"/>
        <w:gridCol w:w="1560"/>
        <w:gridCol w:w="1560"/>
        <w:gridCol w:w="1560"/>
      </w:tblGrid>
      <w:tr>
        <w:trPr>
          <w:tblHeader/>
        </w:trPr>
        <w:tc>
          <w:tcPr>
            <w:tcW w:type="dxa" w:w="2016"/>
            <w:shd w:fill="1F4E79"/>
            <w:tcMar>
              <w:top w:w="140" w:type="dxa"/>
              <w:bottom w:w="140" w:type="dxa"/>
              <w:left w:w="160" w:type="dxa"/>
              <w:right w:w="160" w:type="dxa"/>
            </w:tcMar>
            <w:vAlign w:val="center"/>
          </w:tcPr>
          <w:p>
            <w:pPr>
              <w:jc w:val="center"/>
            </w:pPr>
            <w:r>
              <w:rPr>
                <w:rFonts w:ascii="Calibri" w:hAnsi="Calibri"/>
                <w:b/>
                <w:color w:val="FFFFFF"/>
                <w:sz w:val="19"/>
              </w:rPr>
              <w:t>Corpus File</w:t>
            </w:r>
          </w:p>
        </w:tc>
        <w:tc>
          <w:tcPr>
            <w:tcW w:type="dxa" w:w="1008"/>
            <w:shd w:fill="1F4E79"/>
            <w:tcMar>
              <w:top w:w="140" w:type="dxa"/>
              <w:bottom w:w="140" w:type="dxa"/>
              <w:left w:w="160" w:type="dxa"/>
              <w:right w:w="160" w:type="dxa"/>
            </w:tcMar>
            <w:vAlign w:val="center"/>
          </w:tcPr>
          <w:p>
            <w:pPr>
              <w:jc w:val="center"/>
            </w:pPr>
            <w:r>
              <w:rPr>
                <w:rFonts w:ascii="Calibri" w:hAnsi="Calibri"/>
                <w:b/>
                <w:color w:val="FFFFFF"/>
                <w:sz w:val="19"/>
              </w:rPr>
              <w:t>Size</w:t>
            </w:r>
          </w:p>
        </w:tc>
        <w:tc>
          <w:tcPr>
            <w:tcW w:type="dxa" w:w="1296"/>
            <w:shd w:fill="1F4E79"/>
            <w:tcMar>
              <w:top w:w="140" w:type="dxa"/>
              <w:bottom w:w="140" w:type="dxa"/>
              <w:left w:w="160" w:type="dxa"/>
              <w:right w:w="160" w:type="dxa"/>
            </w:tcMar>
            <w:vAlign w:val="center"/>
          </w:tcPr>
          <w:p>
            <w:pPr>
              <w:jc w:val="center"/>
            </w:pPr>
            <w:r>
              <w:rPr>
                <w:rFonts w:ascii="Calibri" w:hAnsi="Calibri"/>
                <w:b/>
                <w:color w:val="FFFFFF"/>
                <w:sz w:val="19"/>
              </w:rPr>
              <w:t>Total Rows</w:t>
            </w:r>
          </w:p>
        </w:tc>
        <w:tc>
          <w:tcPr>
            <w:tcW w:type="dxa" w:w="1584"/>
            <w:shd w:fill="1F4E79"/>
            <w:tcMar>
              <w:top w:w="140" w:type="dxa"/>
              <w:bottom w:w="140" w:type="dxa"/>
              <w:left w:w="160" w:type="dxa"/>
              <w:right w:w="160" w:type="dxa"/>
            </w:tcMar>
            <w:vAlign w:val="center"/>
          </w:tcPr>
          <w:p>
            <w:pPr>
              <w:jc w:val="center"/>
            </w:pPr>
            <w:r>
              <w:rPr>
                <w:rFonts w:ascii="Calibri" w:hAnsi="Calibri"/>
                <w:b/>
                <w:color w:val="FFFFFF"/>
                <w:sz w:val="19"/>
              </w:rPr>
              <w:t>Class 0 (Routine)</w:t>
            </w:r>
          </w:p>
        </w:tc>
        <w:tc>
          <w:tcPr>
            <w:tcW w:type="dxa" w:w="1584"/>
            <w:shd w:fill="1F4E79"/>
            <w:tcMar>
              <w:top w:w="140" w:type="dxa"/>
              <w:bottom w:w="140" w:type="dxa"/>
              <w:left w:w="160" w:type="dxa"/>
              <w:right w:w="160" w:type="dxa"/>
            </w:tcMar>
            <w:vAlign w:val="center"/>
          </w:tcPr>
          <w:p>
            <w:pPr>
              <w:jc w:val="center"/>
            </w:pPr>
            <w:r>
              <w:rPr>
                <w:rFonts w:ascii="Calibri" w:hAnsi="Calibri"/>
                <w:b/>
                <w:color w:val="FFFFFF"/>
                <w:sz w:val="19"/>
              </w:rPr>
              <w:t>Class 1 (Threat)</w:t>
            </w:r>
          </w:p>
        </w:tc>
        <w:tc>
          <w:tcPr>
            <w:tcW w:type="dxa" w:w="1872"/>
            <w:shd w:fill="1F4E79"/>
            <w:tcMar>
              <w:top w:w="140" w:type="dxa"/>
              <w:bottom w:w="140" w:type="dxa"/>
              <w:left w:w="160" w:type="dxa"/>
              <w:right w:w="160" w:type="dxa"/>
            </w:tcMar>
            <w:vAlign w:val="center"/>
          </w:tcPr>
          <w:p>
            <w:pPr>
              <w:jc w:val="center"/>
            </w:pPr>
            <w:r>
              <w:rPr>
                <w:rFonts w:ascii="Calibri" w:hAnsi="Calibri"/>
                <w:b/>
                <w:color w:val="FFFFFF"/>
                <w:sz w:val="19"/>
              </w:rPr>
              <w:t>Key Columns</w:t>
            </w:r>
          </w:p>
        </w:tc>
      </w:tr>
      <w:tr>
        <w:tc>
          <w:tcPr>
            <w:tcW w:type="dxa" w:w="2016"/>
            <w:shd w:fill="FFFFFF"/>
            <w:tcMar>
              <w:top w:w="100" w:type="dxa"/>
              <w:bottom w:w="100" w:type="dxa"/>
              <w:left w:w="140" w:type="dxa"/>
              <w:right w:w="140" w:type="dxa"/>
            </w:tcMar>
            <w:vAlign w:val="center"/>
          </w:tcPr>
          <w:p>
            <w:r>
              <w:rPr>
                <w:rFonts w:ascii="Calibri" w:hAnsi="Calibri"/>
                <w:color w:val="262626"/>
                <w:sz w:val="19"/>
              </w:rPr>
              <w:t>CEAS_08.csv</w:t>
            </w:r>
          </w:p>
        </w:tc>
        <w:tc>
          <w:tcPr>
            <w:tcW w:type="dxa" w:w="1008"/>
            <w:shd w:fill="FFFFFF"/>
            <w:tcMar>
              <w:top w:w="100" w:type="dxa"/>
              <w:bottom w:w="100" w:type="dxa"/>
              <w:left w:w="140" w:type="dxa"/>
              <w:right w:w="140" w:type="dxa"/>
            </w:tcMar>
            <w:vAlign w:val="center"/>
          </w:tcPr>
          <w:p>
            <w:r>
              <w:rPr>
                <w:rFonts w:ascii="Calibri" w:hAnsi="Calibri"/>
                <w:color w:val="262626"/>
                <w:sz w:val="19"/>
              </w:rPr>
              <w:t>64.8 MB</w:t>
            </w:r>
          </w:p>
        </w:tc>
        <w:tc>
          <w:tcPr>
            <w:tcW w:type="dxa" w:w="1296"/>
            <w:shd w:fill="FFFFFF"/>
            <w:tcMar>
              <w:top w:w="100" w:type="dxa"/>
              <w:bottom w:w="100" w:type="dxa"/>
              <w:left w:w="140" w:type="dxa"/>
              <w:right w:w="140" w:type="dxa"/>
            </w:tcMar>
            <w:vAlign w:val="center"/>
          </w:tcPr>
          <w:p>
            <w:r>
              <w:rPr>
                <w:rFonts w:ascii="Calibri" w:hAnsi="Calibri"/>
                <w:color w:val="262626"/>
                <w:sz w:val="19"/>
              </w:rPr>
              <w:t>39,154</w:t>
            </w:r>
          </w:p>
        </w:tc>
        <w:tc>
          <w:tcPr>
            <w:tcW w:type="dxa" w:w="1584"/>
            <w:shd w:fill="FFFFFF"/>
            <w:tcMar>
              <w:top w:w="100" w:type="dxa"/>
              <w:bottom w:w="100" w:type="dxa"/>
              <w:left w:w="140" w:type="dxa"/>
              <w:right w:w="140" w:type="dxa"/>
            </w:tcMar>
            <w:vAlign w:val="center"/>
          </w:tcPr>
          <w:p>
            <w:r>
              <w:rPr>
                <w:rFonts w:ascii="Calibri" w:hAnsi="Calibri"/>
                <w:color w:val="262626"/>
                <w:sz w:val="19"/>
              </w:rPr>
              <w:t>17,312 (44.2%)</w:t>
            </w:r>
          </w:p>
        </w:tc>
        <w:tc>
          <w:tcPr>
            <w:tcW w:type="dxa" w:w="1584"/>
            <w:shd w:fill="FFFFFF"/>
            <w:tcMar>
              <w:top w:w="100" w:type="dxa"/>
              <w:bottom w:w="100" w:type="dxa"/>
              <w:left w:w="140" w:type="dxa"/>
              <w:right w:w="140" w:type="dxa"/>
            </w:tcMar>
            <w:vAlign w:val="center"/>
          </w:tcPr>
          <w:p>
            <w:r>
              <w:rPr>
                <w:rFonts w:ascii="Calibri" w:hAnsi="Calibri"/>
                <w:color w:val="262626"/>
                <w:sz w:val="19"/>
              </w:rPr>
              <w:t>21,842 (55.8%)</w:t>
            </w:r>
          </w:p>
        </w:tc>
        <w:tc>
          <w:tcPr>
            <w:tcW w:type="dxa" w:w="1872"/>
            <w:shd w:fill="FFFFFF"/>
            <w:tcMar>
              <w:top w:w="100" w:type="dxa"/>
              <w:bottom w:w="100" w:type="dxa"/>
              <w:left w:w="140" w:type="dxa"/>
              <w:right w:w="140" w:type="dxa"/>
            </w:tcMar>
            <w:vAlign w:val="center"/>
          </w:tcPr>
          <w:p>
            <w:r>
              <w:rPr>
                <w:rFonts w:ascii="Calibri" w:hAnsi="Calibri"/>
                <w:color w:val="262626"/>
                <w:sz w:val="19"/>
              </w:rPr>
              <w:t>sender, receiver, date, subject, body, urls, label</w:t>
            </w:r>
          </w:p>
        </w:tc>
      </w:tr>
      <w:tr>
        <w:tc>
          <w:tcPr>
            <w:tcW w:type="dxa" w:w="2016"/>
            <w:shd w:fill="F9FAFB"/>
            <w:tcMar>
              <w:top w:w="100" w:type="dxa"/>
              <w:bottom w:w="100" w:type="dxa"/>
              <w:left w:w="140" w:type="dxa"/>
              <w:right w:w="140" w:type="dxa"/>
            </w:tcMar>
            <w:vAlign w:val="center"/>
          </w:tcPr>
          <w:p>
            <w:r>
              <w:rPr>
                <w:rFonts w:ascii="Calibri" w:hAnsi="Calibri"/>
                <w:color w:val="262626"/>
                <w:sz w:val="19"/>
              </w:rPr>
              <w:t>Enron.csv</w:t>
            </w:r>
          </w:p>
        </w:tc>
        <w:tc>
          <w:tcPr>
            <w:tcW w:type="dxa" w:w="1008"/>
            <w:shd w:fill="F9FAFB"/>
            <w:tcMar>
              <w:top w:w="100" w:type="dxa"/>
              <w:bottom w:w="100" w:type="dxa"/>
              <w:left w:w="140" w:type="dxa"/>
              <w:right w:w="140" w:type="dxa"/>
            </w:tcMar>
            <w:vAlign w:val="center"/>
          </w:tcPr>
          <w:p>
            <w:r>
              <w:rPr>
                <w:rFonts w:ascii="Calibri" w:hAnsi="Calibri"/>
                <w:color w:val="262626"/>
                <w:sz w:val="19"/>
              </w:rPr>
              <w:t>43.5 MB</w:t>
            </w:r>
          </w:p>
        </w:tc>
        <w:tc>
          <w:tcPr>
            <w:tcW w:type="dxa" w:w="1296"/>
            <w:shd w:fill="F9FAFB"/>
            <w:tcMar>
              <w:top w:w="100" w:type="dxa"/>
              <w:bottom w:w="100" w:type="dxa"/>
              <w:left w:w="140" w:type="dxa"/>
              <w:right w:w="140" w:type="dxa"/>
            </w:tcMar>
            <w:vAlign w:val="center"/>
          </w:tcPr>
          <w:p>
            <w:r>
              <w:rPr>
                <w:rFonts w:ascii="Calibri" w:hAnsi="Calibri"/>
                <w:color w:val="262626"/>
                <w:sz w:val="19"/>
              </w:rPr>
              <w:t>29,767</w:t>
            </w:r>
          </w:p>
        </w:tc>
        <w:tc>
          <w:tcPr>
            <w:tcW w:type="dxa" w:w="1584"/>
            <w:shd w:fill="F9FAFB"/>
            <w:tcMar>
              <w:top w:w="100" w:type="dxa"/>
              <w:bottom w:w="100" w:type="dxa"/>
              <w:left w:w="140" w:type="dxa"/>
              <w:right w:w="140" w:type="dxa"/>
            </w:tcMar>
            <w:vAlign w:val="center"/>
          </w:tcPr>
          <w:p>
            <w:r>
              <w:rPr>
                <w:rFonts w:ascii="Calibri" w:hAnsi="Calibri"/>
                <w:color w:val="262626"/>
                <w:sz w:val="19"/>
              </w:rPr>
              <w:t>15,791 (53.0%)</w:t>
            </w:r>
          </w:p>
        </w:tc>
        <w:tc>
          <w:tcPr>
            <w:tcW w:type="dxa" w:w="1584"/>
            <w:shd w:fill="F9FAFB"/>
            <w:tcMar>
              <w:top w:w="100" w:type="dxa"/>
              <w:bottom w:w="100" w:type="dxa"/>
              <w:left w:w="140" w:type="dxa"/>
              <w:right w:w="140" w:type="dxa"/>
            </w:tcMar>
            <w:vAlign w:val="center"/>
          </w:tcPr>
          <w:p>
            <w:r>
              <w:rPr>
                <w:rFonts w:ascii="Calibri" w:hAnsi="Calibri"/>
                <w:color w:val="262626"/>
                <w:sz w:val="19"/>
              </w:rPr>
              <w:t>13,976 (47.0%)</w:t>
            </w:r>
          </w:p>
        </w:tc>
        <w:tc>
          <w:tcPr>
            <w:tcW w:type="dxa" w:w="1872"/>
            <w:shd w:fill="F9FAFB"/>
            <w:tcMar>
              <w:top w:w="100" w:type="dxa"/>
              <w:bottom w:w="100" w:type="dxa"/>
              <w:left w:w="140" w:type="dxa"/>
              <w:right w:w="140" w:type="dxa"/>
            </w:tcMar>
            <w:vAlign w:val="center"/>
          </w:tcPr>
          <w:p>
            <w:r>
              <w:rPr>
                <w:rFonts w:ascii="Calibri" w:hAnsi="Calibri"/>
                <w:color w:val="262626"/>
                <w:sz w:val="19"/>
              </w:rPr>
              <w:t>subject, body, label</w:t>
            </w:r>
          </w:p>
        </w:tc>
      </w:tr>
      <w:tr>
        <w:tc>
          <w:tcPr>
            <w:tcW w:type="dxa" w:w="2016"/>
            <w:shd w:fill="FFFFFF"/>
            <w:tcMar>
              <w:top w:w="100" w:type="dxa"/>
              <w:bottom w:w="100" w:type="dxa"/>
              <w:left w:w="140" w:type="dxa"/>
              <w:right w:w="140" w:type="dxa"/>
            </w:tcMar>
            <w:vAlign w:val="center"/>
          </w:tcPr>
          <w:p>
            <w:r>
              <w:rPr>
                <w:rFonts w:ascii="Calibri" w:hAnsi="Calibri"/>
                <w:color w:val="262626"/>
                <w:sz w:val="19"/>
              </w:rPr>
              <w:t>Ling.csv</w:t>
            </w:r>
          </w:p>
        </w:tc>
        <w:tc>
          <w:tcPr>
            <w:tcW w:type="dxa" w:w="1008"/>
            <w:shd w:fill="FFFFFF"/>
            <w:tcMar>
              <w:top w:w="100" w:type="dxa"/>
              <w:bottom w:w="100" w:type="dxa"/>
              <w:left w:w="140" w:type="dxa"/>
              <w:right w:w="140" w:type="dxa"/>
            </w:tcMar>
            <w:vAlign w:val="center"/>
          </w:tcPr>
          <w:p>
            <w:r>
              <w:rPr>
                <w:rFonts w:ascii="Calibri" w:hAnsi="Calibri"/>
                <w:color w:val="262626"/>
                <w:sz w:val="19"/>
              </w:rPr>
              <w:t>8.9 MB</w:t>
            </w:r>
          </w:p>
        </w:tc>
        <w:tc>
          <w:tcPr>
            <w:tcW w:type="dxa" w:w="1296"/>
            <w:shd w:fill="FFFFFF"/>
            <w:tcMar>
              <w:top w:w="100" w:type="dxa"/>
              <w:bottom w:w="100" w:type="dxa"/>
              <w:left w:w="140" w:type="dxa"/>
              <w:right w:w="140" w:type="dxa"/>
            </w:tcMar>
            <w:vAlign w:val="center"/>
          </w:tcPr>
          <w:p>
            <w:r>
              <w:rPr>
                <w:rFonts w:ascii="Calibri" w:hAnsi="Calibri"/>
                <w:color w:val="262626"/>
                <w:sz w:val="19"/>
              </w:rPr>
              <w:t>2,859</w:t>
            </w:r>
          </w:p>
        </w:tc>
        <w:tc>
          <w:tcPr>
            <w:tcW w:type="dxa" w:w="1584"/>
            <w:shd w:fill="FFFFFF"/>
            <w:tcMar>
              <w:top w:w="100" w:type="dxa"/>
              <w:bottom w:w="100" w:type="dxa"/>
              <w:left w:w="140" w:type="dxa"/>
              <w:right w:w="140" w:type="dxa"/>
            </w:tcMar>
            <w:vAlign w:val="center"/>
          </w:tcPr>
          <w:p>
            <w:r>
              <w:rPr>
                <w:rFonts w:ascii="Calibri" w:hAnsi="Calibri"/>
                <w:color w:val="262626"/>
                <w:sz w:val="19"/>
              </w:rPr>
              <w:t>2,401 (84.0%)</w:t>
            </w:r>
          </w:p>
        </w:tc>
        <w:tc>
          <w:tcPr>
            <w:tcW w:type="dxa" w:w="1584"/>
            <w:shd w:fill="FFFFFF"/>
            <w:tcMar>
              <w:top w:w="100" w:type="dxa"/>
              <w:bottom w:w="100" w:type="dxa"/>
              <w:left w:w="140" w:type="dxa"/>
              <w:right w:w="140" w:type="dxa"/>
            </w:tcMar>
            <w:vAlign w:val="center"/>
          </w:tcPr>
          <w:p>
            <w:r>
              <w:rPr>
                <w:rFonts w:ascii="Calibri" w:hAnsi="Calibri"/>
                <w:color w:val="262626"/>
                <w:sz w:val="19"/>
              </w:rPr>
              <w:t>458 (16.0%)</w:t>
            </w:r>
          </w:p>
        </w:tc>
        <w:tc>
          <w:tcPr>
            <w:tcW w:type="dxa" w:w="1872"/>
            <w:shd w:fill="FFFFFF"/>
            <w:tcMar>
              <w:top w:w="100" w:type="dxa"/>
              <w:bottom w:w="100" w:type="dxa"/>
              <w:left w:w="140" w:type="dxa"/>
              <w:right w:w="140" w:type="dxa"/>
            </w:tcMar>
            <w:vAlign w:val="center"/>
          </w:tcPr>
          <w:p>
            <w:r>
              <w:rPr>
                <w:rFonts w:ascii="Calibri" w:hAnsi="Calibri"/>
                <w:color w:val="262626"/>
                <w:sz w:val="19"/>
              </w:rPr>
              <w:t>subject, body, label</w:t>
            </w:r>
          </w:p>
        </w:tc>
      </w:tr>
      <w:tr>
        <w:tc>
          <w:tcPr>
            <w:tcW w:type="dxa" w:w="2016"/>
            <w:shd w:fill="F9FAFB"/>
            <w:tcMar>
              <w:top w:w="100" w:type="dxa"/>
              <w:bottom w:w="100" w:type="dxa"/>
              <w:left w:w="140" w:type="dxa"/>
              <w:right w:w="140" w:type="dxa"/>
            </w:tcMar>
            <w:vAlign w:val="center"/>
          </w:tcPr>
          <w:p>
            <w:r>
              <w:rPr>
                <w:rFonts w:ascii="Calibri" w:hAnsi="Calibri"/>
                <w:color w:val="262626"/>
                <w:sz w:val="19"/>
              </w:rPr>
              <w:t>Nazario.csv</w:t>
            </w:r>
          </w:p>
        </w:tc>
        <w:tc>
          <w:tcPr>
            <w:tcW w:type="dxa" w:w="1008"/>
            <w:shd w:fill="F9FAFB"/>
            <w:tcMar>
              <w:top w:w="100" w:type="dxa"/>
              <w:bottom w:w="100" w:type="dxa"/>
              <w:left w:w="140" w:type="dxa"/>
              <w:right w:w="140" w:type="dxa"/>
            </w:tcMar>
            <w:vAlign w:val="center"/>
          </w:tcPr>
          <w:p>
            <w:r>
              <w:rPr>
                <w:rFonts w:ascii="Calibri" w:hAnsi="Calibri"/>
                <w:color w:val="262626"/>
                <w:sz w:val="19"/>
              </w:rPr>
              <w:t>7.5 MB</w:t>
            </w:r>
          </w:p>
        </w:tc>
        <w:tc>
          <w:tcPr>
            <w:tcW w:type="dxa" w:w="1296"/>
            <w:shd w:fill="F9FAFB"/>
            <w:tcMar>
              <w:top w:w="100" w:type="dxa"/>
              <w:bottom w:w="100" w:type="dxa"/>
              <w:left w:w="140" w:type="dxa"/>
              <w:right w:w="140" w:type="dxa"/>
            </w:tcMar>
            <w:vAlign w:val="center"/>
          </w:tcPr>
          <w:p>
            <w:r>
              <w:rPr>
                <w:rFonts w:ascii="Calibri" w:hAnsi="Calibri"/>
                <w:color w:val="262626"/>
                <w:sz w:val="19"/>
              </w:rPr>
              <w:t>1,565</w:t>
            </w:r>
          </w:p>
        </w:tc>
        <w:tc>
          <w:tcPr>
            <w:tcW w:type="dxa" w:w="1584"/>
            <w:shd w:fill="F9FAFB"/>
            <w:tcMar>
              <w:top w:w="100" w:type="dxa"/>
              <w:bottom w:w="100" w:type="dxa"/>
              <w:left w:w="140" w:type="dxa"/>
              <w:right w:w="140" w:type="dxa"/>
            </w:tcMar>
            <w:vAlign w:val="center"/>
          </w:tcPr>
          <w:p>
            <w:r>
              <w:rPr>
                <w:rFonts w:ascii="Calibri" w:hAnsi="Calibri"/>
                <w:color w:val="262626"/>
                <w:sz w:val="19"/>
              </w:rPr>
              <w:t>0 (0.0%)</w:t>
            </w:r>
          </w:p>
        </w:tc>
        <w:tc>
          <w:tcPr>
            <w:tcW w:type="dxa" w:w="1584"/>
            <w:shd w:fill="F9FAFB"/>
            <w:tcMar>
              <w:top w:w="100" w:type="dxa"/>
              <w:bottom w:w="100" w:type="dxa"/>
              <w:left w:w="140" w:type="dxa"/>
              <w:right w:w="140" w:type="dxa"/>
            </w:tcMar>
            <w:vAlign w:val="center"/>
          </w:tcPr>
          <w:p>
            <w:r>
              <w:rPr>
                <w:rFonts w:ascii="Calibri" w:hAnsi="Calibri"/>
                <w:color w:val="262626"/>
                <w:sz w:val="19"/>
              </w:rPr>
              <w:t>1,565 (100.0%)</w:t>
            </w:r>
          </w:p>
        </w:tc>
        <w:tc>
          <w:tcPr>
            <w:tcW w:type="dxa" w:w="1872"/>
            <w:shd w:fill="F9FAFB"/>
            <w:tcMar>
              <w:top w:w="100" w:type="dxa"/>
              <w:bottom w:w="100" w:type="dxa"/>
              <w:left w:w="140" w:type="dxa"/>
              <w:right w:w="140" w:type="dxa"/>
            </w:tcMar>
            <w:vAlign w:val="center"/>
          </w:tcPr>
          <w:p>
            <w:r>
              <w:rPr>
                <w:rFonts w:ascii="Calibri" w:hAnsi="Calibri"/>
                <w:color w:val="262626"/>
                <w:sz w:val="19"/>
              </w:rPr>
              <w:t>sender, receiver, date, subject, body, urls, label</w:t>
            </w:r>
          </w:p>
        </w:tc>
      </w:tr>
      <w:tr>
        <w:tc>
          <w:tcPr>
            <w:tcW w:type="dxa" w:w="2016"/>
            <w:shd w:fill="FFFFFF"/>
            <w:tcMar>
              <w:top w:w="100" w:type="dxa"/>
              <w:bottom w:w="100" w:type="dxa"/>
              <w:left w:w="140" w:type="dxa"/>
              <w:right w:w="140" w:type="dxa"/>
            </w:tcMar>
            <w:vAlign w:val="center"/>
          </w:tcPr>
          <w:p>
            <w:r>
              <w:rPr>
                <w:rFonts w:ascii="Calibri" w:hAnsi="Calibri"/>
                <w:color w:val="262626"/>
                <w:sz w:val="19"/>
              </w:rPr>
              <w:t>Nigerian_Fraud.csv</w:t>
            </w:r>
          </w:p>
        </w:tc>
        <w:tc>
          <w:tcPr>
            <w:tcW w:type="dxa" w:w="1008"/>
            <w:shd w:fill="FFFFFF"/>
            <w:tcMar>
              <w:top w:w="100" w:type="dxa"/>
              <w:bottom w:w="100" w:type="dxa"/>
              <w:left w:w="140" w:type="dxa"/>
              <w:right w:w="140" w:type="dxa"/>
            </w:tcMar>
            <w:vAlign w:val="center"/>
          </w:tcPr>
          <w:p>
            <w:r>
              <w:rPr>
                <w:rFonts w:ascii="Calibri" w:hAnsi="Calibri"/>
                <w:color w:val="262626"/>
                <w:sz w:val="19"/>
              </w:rPr>
              <w:t>8.8 MB</w:t>
            </w:r>
          </w:p>
        </w:tc>
        <w:tc>
          <w:tcPr>
            <w:tcW w:type="dxa" w:w="1296"/>
            <w:shd w:fill="FFFFFF"/>
            <w:tcMar>
              <w:top w:w="100" w:type="dxa"/>
              <w:bottom w:w="100" w:type="dxa"/>
              <w:left w:w="140" w:type="dxa"/>
              <w:right w:w="140" w:type="dxa"/>
            </w:tcMar>
            <w:vAlign w:val="center"/>
          </w:tcPr>
          <w:p>
            <w:r>
              <w:rPr>
                <w:rFonts w:ascii="Calibri" w:hAnsi="Calibri"/>
                <w:color w:val="262626"/>
                <w:sz w:val="19"/>
              </w:rPr>
              <w:t>3,332</w:t>
            </w:r>
          </w:p>
        </w:tc>
        <w:tc>
          <w:tcPr>
            <w:tcW w:type="dxa" w:w="1584"/>
            <w:shd w:fill="FFFFFF"/>
            <w:tcMar>
              <w:top w:w="100" w:type="dxa"/>
              <w:bottom w:w="100" w:type="dxa"/>
              <w:left w:w="140" w:type="dxa"/>
              <w:right w:w="140" w:type="dxa"/>
            </w:tcMar>
            <w:vAlign w:val="center"/>
          </w:tcPr>
          <w:p>
            <w:r>
              <w:rPr>
                <w:rFonts w:ascii="Calibri" w:hAnsi="Calibri"/>
                <w:color w:val="262626"/>
                <w:sz w:val="19"/>
              </w:rPr>
              <w:t>0 (0.0%)</w:t>
            </w:r>
          </w:p>
        </w:tc>
        <w:tc>
          <w:tcPr>
            <w:tcW w:type="dxa" w:w="1584"/>
            <w:shd w:fill="FFFFFF"/>
            <w:tcMar>
              <w:top w:w="100" w:type="dxa"/>
              <w:bottom w:w="100" w:type="dxa"/>
              <w:left w:w="140" w:type="dxa"/>
              <w:right w:w="140" w:type="dxa"/>
            </w:tcMar>
            <w:vAlign w:val="center"/>
          </w:tcPr>
          <w:p>
            <w:r>
              <w:rPr>
                <w:rFonts w:ascii="Calibri" w:hAnsi="Calibri"/>
                <w:color w:val="262626"/>
                <w:sz w:val="19"/>
              </w:rPr>
              <w:t>3,332 (100.0%)</w:t>
            </w:r>
          </w:p>
        </w:tc>
        <w:tc>
          <w:tcPr>
            <w:tcW w:type="dxa" w:w="1872"/>
            <w:shd w:fill="FFFFFF"/>
            <w:tcMar>
              <w:top w:w="100" w:type="dxa"/>
              <w:bottom w:w="100" w:type="dxa"/>
              <w:left w:w="140" w:type="dxa"/>
              <w:right w:w="140" w:type="dxa"/>
            </w:tcMar>
            <w:vAlign w:val="center"/>
          </w:tcPr>
          <w:p>
            <w:r>
              <w:rPr>
                <w:rFonts w:ascii="Calibri" w:hAnsi="Calibri"/>
                <w:color w:val="262626"/>
                <w:sz w:val="19"/>
              </w:rPr>
              <w:t>sender, receiver, date, subject, body, urls, label</w:t>
            </w:r>
          </w:p>
        </w:tc>
      </w:tr>
      <w:tr>
        <w:tc>
          <w:tcPr>
            <w:tcW w:type="dxa" w:w="2016"/>
            <w:shd w:fill="F9FAFB"/>
            <w:tcMar>
              <w:top w:w="100" w:type="dxa"/>
              <w:bottom w:w="100" w:type="dxa"/>
              <w:left w:w="140" w:type="dxa"/>
              <w:right w:w="140" w:type="dxa"/>
            </w:tcMar>
            <w:vAlign w:val="center"/>
          </w:tcPr>
          <w:p>
            <w:r>
              <w:rPr>
                <w:rFonts w:ascii="Calibri" w:hAnsi="Calibri"/>
                <w:color w:val="262626"/>
                <w:sz w:val="19"/>
              </w:rPr>
              <w:t>SpamAssasin.csv</w:t>
            </w:r>
          </w:p>
        </w:tc>
        <w:tc>
          <w:tcPr>
            <w:tcW w:type="dxa" w:w="1008"/>
            <w:shd w:fill="F9FAFB"/>
            <w:tcMar>
              <w:top w:w="100" w:type="dxa"/>
              <w:bottom w:w="100" w:type="dxa"/>
              <w:left w:w="140" w:type="dxa"/>
              <w:right w:w="140" w:type="dxa"/>
            </w:tcMar>
            <w:vAlign w:val="center"/>
          </w:tcPr>
          <w:p>
            <w:r>
              <w:rPr>
                <w:rFonts w:ascii="Calibri" w:hAnsi="Calibri"/>
                <w:color w:val="262626"/>
                <w:sz w:val="19"/>
              </w:rPr>
              <w:t>14.2 MB</w:t>
            </w:r>
          </w:p>
        </w:tc>
        <w:tc>
          <w:tcPr>
            <w:tcW w:type="dxa" w:w="1296"/>
            <w:shd w:fill="F9FAFB"/>
            <w:tcMar>
              <w:top w:w="100" w:type="dxa"/>
              <w:bottom w:w="100" w:type="dxa"/>
              <w:left w:w="140" w:type="dxa"/>
              <w:right w:w="140" w:type="dxa"/>
            </w:tcMar>
            <w:vAlign w:val="center"/>
          </w:tcPr>
          <w:p>
            <w:r>
              <w:rPr>
                <w:rFonts w:ascii="Calibri" w:hAnsi="Calibri"/>
                <w:color w:val="262626"/>
                <w:sz w:val="19"/>
              </w:rPr>
              <w:t>5,809</w:t>
            </w:r>
          </w:p>
        </w:tc>
        <w:tc>
          <w:tcPr>
            <w:tcW w:type="dxa" w:w="1584"/>
            <w:shd w:fill="F9FAFB"/>
            <w:tcMar>
              <w:top w:w="100" w:type="dxa"/>
              <w:bottom w:w="100" w:type="dxa"/>
              <w:left w:w="140" w:type="dxa"/>
              <w:right w:w="140" w:type="dxa"/>
            </w:tcMar>
            <w:vAlign w:val="center"/>
          </w:tcPr>
          <w:p>
            <w:r>
              <w:rPr>
                <w:rFonts w:ascii="Calibri" w:hAnsi="Calibri"/>
                <w:color w:val="262626"/>
                <w:sz w:val="19"/>
              </w:rPr>
              <w:t>4,091 (70.4%)</w:t>
            </w:r>
          </w:p>
        </w:tc>
        <w:tc>
          <w:tcPr>
            <w:tcW w:type="dxa" w:w="1584"/>
            <w:shd w:fill="F9FAFB"/>
            <w:tcMar>
              <w:top w:w="100" w:type="dxa"/>
              <w:bottom w:w="100" w:type="dxa"/>
              <w:left w:w="140" w:type="dxa"/>
              <w:right w:w="140" w:type="dxa"/>
            </w:tcMar>
            <w:vAlign w:val="center"/>
          </w:tcPr>
          <w:p>
            <w:r>
              <w:rPr>
                <w:rFonts w:ascii="Calibri" w:hAnsi="Calibri"/>
                <w:color w:val="262626"/>
                <w:sz w:val="19"/>
              </w:rPr>
              <w:t>1,718 (29.6%)</w:t>
            </w:r>
          </w:p>
        </w:tc>
        <w:tc>
          <w:tcPr>
            <w:tcW w:type="dxa" w:w="1872"/>
            <w:shd w:fill="F9FAFB"/>
            <w:tcMar>
              <w:top w:w="100" w:type="dxa"/>
              <w:bottom w:w="100" w:type="dxa"/>
              <w:left w:w="140" w:type="dxa"/>
              <w:right w:w="140" w:type="dxa"/>
            </w:tcMar>
            <w:vAlign w:val="center"/>
          </w:tcPr>
          <w:p>
            <w:r>
              <w:rPr>
                <w:rFonts w:ascii="Calibri" w:hAnsi="Calibri"/>
                <w:color w:val="262626"/>
                <w:sz w:val="19"/>
              </w:rPr>
              <w:t>sender, receiver, date, subject, body, urls, label</w:t>
            </w:r>
          </w:p>
        </w:tc>
      </w:tr>
      <w:tr>
        <w:tc>
          <w:tcPr>
            <w:tcW w:type="dxa" w:w="2016"/>
            <w:shd w:fill="FFFFFF"/>
            <w:tcMar>
              <w:top w:w="100" w:type="dxa"/>
              <w:bottom w:w="100" w:type="dxa"/>
              <w:left w:w="140" w:type="dxa"/>
              <w:right w:w="140" w:type="dxa"/>
            </w:tcMar>
            <w:vAlign w:val="center"/>
          </w:tcPr>
          <w:p>
            <w:r>
              <w:rPr>
                <w:rFonts w:ascii="Calibri" w:hAnsi="Calibri"/>
                <w:color w:val="262626"/>
                <w:sz w:val="19"/>
              </w:rPr>
              <w:t>Total Unified Corpus</w:t>
            </w:r>
          </w:p>
        </w:tc>
        <w:tc>
          <w:tcPr>
            <w:tcW w:type="dxa" w:w="1008"/>
            <w:shd w:fill="FFFFFF"/>
            <w:tcMar>
              <w:top w:w="100" w:type="dxa"/>
              <w:bottom w:w="100" w:type="dxa"/>
              <w:left w:w="140" w:type="dxa"/>
              <w:right w:w="140" w:type="dxa"/>
            </w:tcMar>
            <w:vAlign w:val="center"/>
          </w:tcPr>
          <w:p>
            <w:r>
              <w:rPr>
                <w:rFonts w:ascii="Calibri" w:hAnsi="Calibri"/>
                <w:color w:val="262626"/>
                <w:sz w:val="19"/>
              </w:rPr>
              <w:t>~256 MB</w:t>
            </w:r>
          </w:p>
        </w:tc>
        <w:tc>
          <w:tcPr>
            <w:tcW w:type="dxa" w:w="1296"/>
            <w:shd w:fill="FFFFFF"/>
            <w:tcMar>
              <w:top w:w="100" w:type="dxa"/>
              <w:bottom w:w="100" w:type="dxa"/>
              <w:left w:w="140" w:type="dxa"/>
              <w:right w:w="140" w:type="dxa"/>
            </w:tcMar>
            <w:vAlign w:val="center"/>
          </w:tcPr>
          <w:p>
            <w:r>
              <w:rPr>
                <w:rFonts w:ascii="Calibri" w:hAnsi="Calibri"/>
                <w:color w:val="262626"/>
                <w:sz w:val="19"/>
              </w:rPr>
              <w:t>82,486</w:t>
            </w:r>
          </w:p>
        </w:tc>
        <w:tc>
          <w:tcPr>
            <w:tcW w:type="dxa" w:w="1584"/>
            <w:shd w:fill="FFFFFF"/>
            <w:tcMar>
              <w:top w:w="100" w:type="dxa"/>
              <w:bottom w:w="100" w:type="dxa"/>
              <w:left w:w="140" w:type="dxa"/>
              <w:right w:w="140" w:type="dxa"/>
            </w:tcMar>
            <w:vAlign w:val="center"/>
          </w:tcPr>
          <w:p>
            <w:r>
              <w:rPr>
                <w:rFonts w:ascii="Calibri" w:hAnsi="Calibri"/>
                <w:color w:val="262626"/>
                <w:sz w:val="19"/>
              </w:rPr>
              <w:t>39,595 (48.0%)</w:t>
            </w:r>
          </w:p>
        </w:tc>
        <w:tc>
          <w:tcPr>
            <w:tcW w:type="dxa" w:w="1584"/>
            <w:shd w:fill="FFFFFF"/>
            <w:tcMar>
              <w:top w:w="100" w:type="dxa"/>
              <w:bottom w:w="100" w:type="dxa"/>
              <w:left w:w="140" w:type="dxa"/>
              <w:right w:w="140" w:type="dxa"/>
            </w:tcMar>
            <w:vAlign w:val="center"/>
          </w:tcPr>
          <w:p>
            <w:r>
              <w:rPr>
                <w:rFonts w:ascii="Calibri" w:hAnsi="Calibri"/>
                <w:color w:val="262626"/>
                <w:sz w:val="19"/>
              </w:rPr>
              <w:t>42,891 (52.0%)</w:t>
            </w:r>
          </w:p>
        </w:tc>
        <w:tc>
          <w:tcPr>
            <w:tcW w:type="dxa" w:w="1872"/>
            <w:shd w:fill="FFFFFF"/>
            <w:tcMar>
              <w:top w:w="100" w:type="dxa"/>
              <w:bottom w:w="100" w:type="dxa"/>
              <w:left w:w="140" w:type="dxa"/>
              <w:right w:w="140" w:type="dxa"/>
            </w:tcMar>
            <w:vAlign w:val="center"/>
          </w:tcPr>
          <w:p>
            <w:r>
              <w:rPr>
                <w:rFonts w:ascii="Calibri" w:hAnsi="Calibri"/>
                <w:color w:val="262626"/>
                <w:sz w:val="19"/>
              </w:rPr>
              <w:t>82,391 Unique after 95 duplicate removals</w:t>
            </w:r>
          </w:p>
        </w:tc>
      </w:tr>
    </w:tbl>
    <w:p>
      <w:pPr>
        <w:spacing w:after="200"/>
        <w:jc w:val="center"/>
      </w:pPr>
      <w:r>
        <w:rPr>
          <w:i/>
          <w:sz w:val="19"/>
        </w:rPr>
        <w:t>Table 1: Comprehensive inventory of source email collections comprising the experimental corpus.</w:t>
      </w:r>
    </w:p>
    <w:p>
      <w:r>
        <w:t>Data quality auditing revealed that 347 records had missing subject headers and 1 record had a missing body. Rather than discarding records, missing fields were imputed with empty strings to preserve structural length measurements. Furthermore, 95 exact text duplicates were pruned, leaving 82,391 unique instances (42,803 threats [51.95%] vs. 39,588 routine [48.05%]). The near-perfect 1.08:1 balance precludes the necessity for artificial oversampling (such as SMOTE).</w:t>
      </w:r>
    </w:p>
    <w:p>
      <w:pPr>
        <w:keepNext/>
        <w:spacing w:before="360" w:after="120"/>
      </w:pPr>
      <w:r>
        <w:rPr>
          <w:rFonts w:ascii="Calibri" w:hAnsi="Calibri"/>
          <w:b/>
          <w:color w:val="1F4E79"/>
          <w:sz w:val="29"/>
        </w:rPr>
        <w:t>6. Methodology</w:t>
      </w:r>
    </w:p>
    <w:p>
      <w:r>
        <w:t>The research framework enforces strict scientific reproducibility and anti-leakage controls across four modular phases: (1) Text Sanitization, (2) Deterministic Feature Engineering, (3) Stratified Partitioning &amp; Preprocessing, and (4) Model Inference.</w:t>
      </w:r>
    </w:p>
    <w:p>
      <w:pPr>
        <w:keepNext/>
        <w:spacing w:before="240" w:after="80"/>
      </w:pPr>
      <w:r>
        <w:rPr>
          <w:rFonts w:ascii="Calibri" w:hAnsi="Calibri"/>
          <w:b/>
          <w:color w:val="4472C4"/>
          <w:sz w:val="24"/>
        </w:rPr>
        <w:t>6.1 Data Leakage Prevention Protocol</w:t>
      </w:r>
    </w:p>
    <w:p>
      <w:r>
        <w:t>Data leakage occurs when testing statistics contaminate the training phase, artificially inflating evaluation scores. To guarantee zero leakage, our architecture strictly executes an 80/20 stratified split (N_train = 65,912; N_test = 16,479, random_state = 42) before any transformer is fitted. The ColumnTransformer preprocessor (median imputer and standard scaler) is fitted strictly on the training partition and chained within Scikit-learn Pipeline objects.</w:t>
      </w:r>
    </w:p>
    <w:p>
      <w:pPr>
        <w:keepNext/>
        <w:spacing w:before="240" w:after="80"/>
      </w:pPr>
      <w:r>
        <w:rPr>
          <w:rFonts w:ascii="Calibri" w:hAnsi="Calibri"/>
          <w:b/>
          <w:color w:val="4472C4"/>
          <w:sz w:val="24"/>
        </w:rPr>
        <w:t>6.2 Engineered Measurable Characteristics</w:t>
      </w:r>
    </w:p>
    <w:p>
      <w:r>
        <w:t>Twenty explainable, deterministic features were extracted from raw email text and headers across four thematic dimensions:</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3120"/>
        <w:gridCol w:w="3120"/>
        <w:gridCol w:w="3120"/>
      </w:tblGrid>
      <w:tr>
        <w:trPr>
          <w:tblHeader/>
        </w:trPr>
        <w:tc>
          <w:tcPr>
            <w:tcW w:type="dxa" w:w="2592"/>
            <w:shd w:fill="1F4E79"/>
            <w:tcMar>
              <w:top w:w="140" w:type="dxa"/>
              <w:bottom w:w="140" w:type="dxa"/>
              <w:left w:w="160" w:type="dxa"/>
              <w:right w:w="160" w:type="dxa"/>
            </w:tcMar>
            <w:vAlign w:val="center"/>
          </w:tcPr>
          <w:p>
            <w:pPr>
              <w:jc w:val="center"/>
            </w:pPr>
            <w:r>
              <w:rPr>
                <w:rFonts w:ascii="Calibri" w:hAnsi="Calibri"/>
                <w:b/>
                <w:color w:val="FFFFFF"/>
                <w:sz w:val="19"/>
              </w:rPr>
              <w:t>Category</w:t>
            </w:r>
          </w:p>
        </w:tc>
        <w:tc>
          <w:tcPr>
            <w:tcW w:type="dxa" w:w="3168"/>
            <w:shd w:fill="1F4E79"/>
            <w:tcMar>
              <w:top w:w="140" w:type="dxa"/>
              <w:bottom w:w="140" w:type="dxa"/>
              <w:left w:w="160" w:type="dxa"/>
              <w:right w:w="160" w:type="dxa"/>
            </w:tcMar>
            <w:vAlign w:val="center"/>
          </w:tcPr>
          <w:p>
            <w:pPr>
              <w:jc w:val="center"/>
            </w:pPr>
            <w:r>
              <w:rPr>
                <w:rFonts w:ascii="Calibri" w:hAnsi="Calibri"/>
                <w:b/>
                <w:color w:val="FFFFFF"/>
                <w:sz w:val="19"/>
              </w:rPr>
              <w:t>Feature Name(s)</w:t>
            </w:r>
          </w:p>
        </w:tc>
        <w:tc>
          <w:tcPr>
            <w:tcW w:type="dxa" w:w="3600"/>
            <w:shd w:fill="1F4E79"/>
            <w:tcMar>
              <w:top w:w="140" w:type="dxa"/>
              <w:bottom w:w="140" w:type="dxa"/>
              <w:left w:w="160" w:type="dxa"/>
              <w:right w:w="160" w:type="dxa"/>
            </w:tcMar>
            <w:vAlign w:val="center"/>
          </w:tcPr>
          <w:p>
            <w:pPr>
              <w:jc w:val="center"/>
            </w:pPr>
            <w:r>
              <w:rPr>
                <w:rFonts w:ascii="Calibri" w:hAnsi="Calibri"/>
                <w:b/>
                <w:color w:val="FFFFFF"/>
                <w:sz w:val="19"/>
              </w:rPr>
              <w:t>Cybersecurity Rationale &amp; Computation</w:t>
            </w:r>
          </w:p>
        </w:tc>
      </w:tr>
      <w:tr>
        <w:tc>
          <w:tcPr>
            <w:tcW w:type="dxa" w:w="2592"/>
            <w:shd w:fill="FFFFFF"/>
            <w:tcMar>
              <w:top w:w="100" w:type="dxa"/>
              <w:bottom w:w="100" w:type="dxa"/>
              <w:left w:w="140" w:type="dxa"/>
              <w:right w:w="140" w:type="dxa"/>
            </w:tcMar>
            <w:vAlign w:val="center"/>
          </w:tcPr>
          <w:p>
            <w:r>
              <w:rPr>
                <w:rFonts w:ascii="Calibri" w:hAnsi="Calibri"/>
                <w:color w:val="262626"/>
                <w:sz w:val="19"/>
              </w:rPr>
              <w:t>Volumetric Dimensions</w:t>
            </w:r>
          </w:p>
        </w:tc>
        <w:tc>
          <w:tcPr>
            <w:tcW w:type="dxa" w:w="3168"/>
            <w:shd w:fill="FFFFFF"/>
            <w:tcMar>
              <w:top w:w="100" w:type="dxa"/>
              <w:bottom w:w="100" w:type="dxa"/>
              <w:left w:w="140" w:type="dxa"/>
              <w:right w:w="140" w:type="dxa"/>
            </w:tcMar>
            <w:vAlign w:val="center"/>
          </w:tcPr>
          <w:p>
            <w:r>
              <w:rPr>
                <w:rFonts w:ascii="Calibri" w:hAnsi="Calibri"/>
                <w:color w:val="262626"/>
                <w:sz w:val="19"/>
              </w:rPr>
              <w:t>message_length, subject_length, body_length, word_count</w:t>
            </w:r>
          </w:p>
        </w:tc>
        <w:tc>
          <w:tcPr>
            <w:tcW w:type="dxa" w:w="3600"/>
            <w:shd w:fill="FFFFFF"/>
            <w:tcMar>
              <w:top w:w="100" w:type="dxa"/>
              <w:bottom w:w="100" w:type="dxa"/>
              <w:left w:w="140" w:type="dxa"/>
              <w:right w:w="140" w:type="dxa"/>
            </w:tcMar>
            <w:vAlign w:val="center"/>
          </w:tcPr>
          <w:p>
            <w:r>
              <w:rPr>
                <w:rFonts w:ascii="Calibri" w:hAnsi="Calibri"/>
                <w:color w:val="262626"/>
                <w:sz w:val="19"/>
              </w:rPr>
              <w:t>Character and token counts. Phishing attacks cluster around concise, high-pressure lures; corporate emails feature extended threads.</w:t>
            </w:r>
          </w:p>
        </w:tc>
      </w:tr>
      <w:tr>
        <w:tc>
          <w:tcPr>
            <w:tcW w:type="dxa" w:w="2592"/>
            <w:shd w:fill="F9FAFB"/>
            <w:tcMar>
              <w:top w:w="100" w:type="dxa"/>
              <w:bottom w:w="100" w:type="dxa"/>
              <w:left w:w="140" w:type="dxa"/>
              <w:right w:w="140" w:type="dxa"/>
            </w:tcMar>
            <w:vAlign w:val="center"/>
          </w:tcPr>
          <w:p>
            <w:r>
              <w:rPr>
                <w:rFonts w:ascii="Calibri" w:hAnsi="Calibri"/>
                <w:color w:val="262626"/>
                <w:sz w:val="19"/>
              </w:rPr>
              <w:t>Network Vectors</w:t>
            </w:r>
          </w:p>
        </w:tc>
        <w:tc>
          <w:tcPr>
            <w:tcW w:type="dxa" w:w="3168"/>
            <w:shd w:fill="F9FAFB"/>
            <w:tcMar>
              <w:top w:w="100" w:type="dxa"/>
              <w:bottom w:w="100" w:type="dxa"/>
              <w:left w:w="140" w:type="dxa"/>
              <w:right w:w="140" w:type="dxa"/>
            </w:tcMar>
            <w:vAlign w:val="center"/>
          </w:tcPr>
          <w:p>
            <w:r>
              <w:rPr>
                <w:rFonts w:ascii="Calibri" w:hAnsi="Calibri"/>
                <w:color w:val="262626"/>
                <w:sz w:val="19"/>
              </w:rPr>
              <w:t>url_count, has_url, email_count</w:t>
            </w:r>
          </w:p>
        </w:tc>
        <w:tc>
          <w:tcPr>
            <w:tcW w:type="dxa" w:w="3600"/>
            <w:shd w:fill="F9FAFB"/>
            <w:tcMar>
              <w:top w:w="100" w:type="dxa"/>
              <w:bottom w:w="100" w:type="dxa"/>
              <w:left w:w="140" w:type="dxa"/>
              <w:right w:w="140" w:type="dxa"/>
            </w:tcMar>
            <w:vAlign w:val="center"/>
          </w:tcPr>
          <w:p>
            <w:r>
              <w:rPr>
                <w:rFonts w:ascii="Calibri" w:hAnsi="Calibri"/>
                <w:color w:val="262626"/>
                <w:sz w:val="19"/>
              </w:rPr>
              <w:t>Hyperlink density via regex (https?://...). Attackers direct victims to external credential-harvesting web servers.</w:t>
            </w:r>
          </w:p>
        </w:tc>
      </w:tr>
      <w:tr>
        <w:tc>
          <w:tcPr>
            <w:tcW w:type="dxa" w:w="2592"/>
            <w:shd w:fill="FFFFFF"/>
            <w:tcMar>
              <w:top w:w="100" w:type="dxa"/>
              <w:bottom w:w="100" w:type="dxa"/>
              <w:left w:w="140" w:type="dxa"/>
              <w:right w:w="140" w:type="dxa"/>
            </w:tcMar>
            <w:vAlign w:val="center"/>
          </w:tcPr>
          <w:p>
            <w:r>
              <w:rPr>
                <w:rFonts w:ascii="Calibri" w:hAnsi="Calibri"/>
                <w:color w:val="262626"/>
                <w:sz w:val="19"/>
              </w:rPr>
              <w:t>Pretexting Keywords</w:t>
            </w:r>
          </w:p>
        </w:tc>
        <w:tc>
          <w:tcPr>
            <w:tcW w:type="dxa" w:w="3168"/>
            <w:shd w:fill="FFFFFF"/>
            <w:tcMar>
              <w:top w:w="100" w:type="dxa"/>
              <w:bottom w:w="100" w:type="dxa"/>
              <w:left w:w="140" w:type="dxa"/>
              <w:right w:w="140" w:type="dxa"/>
            </w:tcMar>
            <w:vAlign w:val="center"/>
          </w:tcPr>
          <w:p>
            <w:r>
              <w:rPr>
                <w:rFonts w:ascii="Calibri" w:hAnsi="Calibri"/>
                <w:color w:val="262626"/>
                <w:sz w:val="19"/>
              </w:rPr>
              <w:t>suspicious_keyword_count, urgency_keyword_count</w:t>
            </w:r>
          </w:p>
        </w:tc>
        <w:tc>
          <w:tcPr>
            <w:tcW w:type="dxa" w:w="3600"/>
            <w:shd w:fill="FFFFFF"/>
            <w:tcMar>
              <w:top w:w="100" w:type="dxa"/>
              <w:bottom w:w="100" w:type="dxa"/>
              <w:left w:w="140" w:type="dxa"/>
              <w:right w:w="140" w:type="dxa"/>
            </w:tcMar>
            <w:vAlign w:val="center"/>
          </w:tcPr>
          <w:p>
            <w:r>
              <w:rPr>
                <w:rFonts w:ascii="Calibri" w:hAnsi="Calibri"/>
                <w:color w:val="262626"/>
                <w:sz w:val="19"/>
              </w:rPr>
              <w:t>Frequencies of banking/security terms ('verify', 'password', 'banking', 'suspend') and psychological urgency cues ('immediately', 'urgent', 'expires').</w:t>
            </w:r>
          </w:p>
        </w:tc>
      </w:tr>
      <w:tr>
        <w:tc>
          <w:tcPr>
            <w:tcW w:type="dxa" w:w="2592"/>
            <w:shd w:fill="F9FAFB"/>
            <w:tcMar>
              <w:top w:w="100" w:type="dxa"/>
              <w:bottom w:w="100" w:type="dxa"/>
              <w:left w:w="140" w:type="dxa"/>
              <w:right w:w="140" w:type="dxa"/>
            </w:tcMar>
            <w:vAlign w:val="center"/>
          </w:tcPr>
          <w:p>
            <w:r>
              <w:rPr>
                <w:rFonts w:ascii="Calibri" w:hAnsi="Calibri"/>
                <w:color w:val="262626"/>
                <w:sz w:val="19"/>
              </w:rPr>
              <w:t>Stylistic Markers</w:t>
            </w:r>
          </w:p>
        </w:tc>
        <w:tc>
          <w:tcPr>
            <w:tcW w:type="dxa" w:w="3168"/>
            <w:shd w:fill="F9FAFB"/>
            <w:tcMar>
              <w:top w:w="100" w:type="dxa"/>
              <w:bottom w:w="100" w:type="dxa"/>
              <w:left w:w="140" w:type="dxa"/>
              <w:right w:w="140" w:type="dxa"/>
            </w:tcMar>
            <w:vAlign w:val="center"/>
          </w:tcPr>
          <w:p>
            <w:r>
              <w:rPr>
                <w:rFonts w:ascii="Calibri" w:hAnsi="Calibri"/>
                <w:color w:val="262626"/>
                <w:sz w:val="19"/>
              </w:rPr>
              <w:t>exclamation_count, question_mark_count</w:t>
            </w:r>
          </w:p>
        </w:tc>
        <w:tc>
          <w:tcPr>
            <w:tcW w:type="dxa" w:w="3600"/>
            <w:shd w:fill="F9FAFB"/>
            <w:tcMar>
              <w:top w:w="100" w:type="dxa"/>
              <w:bottom w:w="100" w:type="dxa"/>
              <w:left w:w="140" w:type="dxa"/>
              <w:right w:w="140" w:type="dxa"/>
            </w:tcMar>
            <w:vAlign w:val="center"/>
          </w:tcPr>
          <w:p>
            <w:r>
              <w:rPr>
                <w:rFonts w:ascii="Calibri" w:hAnsi="Calibri"/>
                <w:color w:val="262626"/>
                <w:sz w:val="19"/>
              </w:rPr>
              <w:t>Dramatic punctuation frequency. Phishing lures rely heavily on dramatic emphasis to provoke emotional panic.</w:t>
            </w:r>
          </w:p>
        </w:tc>
      </w:tr>
      <w:tr>
        <w:tc>
          <w:tcPr>
            <w:tcW w:type="dxa" w:w="2592"/>
            <w:shd w:fill="FFFFFF"/>
            <w:tcMar>
              <w:top w:w="100" w:type="dxa"/>
              <w:bottom w:w="100" w:type="dxa"/>
              <w:left w:w="140" w:type="dxa"/>
              <w:right w:w="140" w:type="dxa"/>
            </w:tcMar>
            <w:vAlign w:val="center"/>
          </w:tcPr>
          <w:p>
            <w:r>
              <w:rPr>
                <w:rFonts w:ascii="Calibri" w:hAnsi="Calibri"/>
                <w:color w:val="262626"/>
                <w:sz w:val="19"/>
              </w:rPr>
              <w:t>Case &amp; Digit Density</w:t>
            </w:r>
          </w:p>
        </w:tc>
        <w:tc>
          <w:tcPr>
            <w:tcW w:type="dxa" w:w="3168"/>
            <w:shd w:fill="FFFFFF"/>
            <w:tcMar>
              <w:top w:w="100" w:type="dxa"/>
              <w:bottom w:w="100" w:type="dxa"/>
              <w:left w:w="140" w:type="dxa"/>
              <w:right w:w="140" w:type="dxa"/>
            </w:tcMar>
            <w:vAlign w:val="center"/>
          </w:tcPr>
          <w:p>
            <w:r>
              <w:rPr>
                <w:rFonts w:ascii="Calibri" w:hAnsi="Calibri"/>
                <w:color w:val="262626"/>
                <w:sz w:val="19"/>
              </w:rPr>
              <w:t>uppercase_count, uppercase_ratio, digit_count, digit_ratio</w:t>
            </w:r>
          </w:p>
        </w:tc>
        <w:tc>
          <w:tcPr>
            <w:tcW w:type="dxa" w:w="3600"/>
            <w:shd w:fill="FFFFFF"/>
            <w:tcMar>
              <w:top w:w="100" w:type="dxa"/>
              <w:bottom w:w="100" w:type="dxa"/>
              <w:left w:w="140" w:type="dxa"/>
              <w:right w:w="140" w:type="dxa"/>
            </w:tcMar>
            <w:vAlign w:val="center"/>
          </w:tcPr>
          <w:p>
            <w:r>
              <w:rPr>
                <w:rFonts w:ascii="Calibri" w:hAnsi="Calibri"/>
                <w:color w:val="262626"/>
                <w:sz w:val="19"/>
              </w:rPr>
              <w:t>Capitalization density measures visual 'shouting'; digit ratios reflect spoofed transaction reference numbers and wire figures.</w:t>
            </w:r>
          </w:p>
        </w:tc>
      </w:tr>
      <w:tr>
        <w:tc>
          <w:tcPr>
            <w:tcW w:type="dxa" w:w="2592"/>
            <w:shd w:fill="F9FAFB"/>
            <w:tcMar>
              <w:top w:w="100" w:type="dxa"/>
              <w:bottom w:w="100" w:type="dxa"/>
              <w:left w:w="140" w:type="dxa"/>
              <w:right w:w="140" w:type="dxa"/>
            </w:tcMar>
            <w:vAlign w:val="center"/>
          </w:tcPr>
          <w:p>
            <w:r>
              <w:rPr>
                <w:rFonts w:ascii="Calibri" w:hAnsi="Calibri"/>
                <w:color w:val="262626"/>
                <w:sz w:val="19"/>
              </w:rPr>
              <w:t>Structural Formatting</w:t>
            </w:r>
          </w:p>
        </w:tc>
        <w:tc>
          <w:tcPr>
            <w:tcW w:type="dxa" w:w="3168"/>
            <w:shd w:fill="F9FAFB"/>
            <w:tcMar>
              <w:top w:w="100" w:type="dxa"/>
              <w:bottom w:w="100" w:type="dxa"/>
              <w:left w:w="140" w:type="dxa"/>
              <w:right w:w="140" w:type="dxa"/>
            </w:tcMar>
            <w:vAlign w:val="center"/>
          </w:tcPr>
          <w:p>
            <w:r>
              <w:rPr>
                <w:rFonts w:ascii="Calibri" w:hAnsi="Calibri"/>
                <w:color w:val="262626"/>
                <w:sz w:val="19"/>
              </w:rPr>
              <w:t>special_char_count, currency_symbol_count, html_tag_count, html_indicator, attachment_indicator</w:t>
            </w:r>
          </w:p>
        </w:tc>
        <w:tc>
          <w:tcPr>
            <w:tcW w:type="dxa" w:w="3600"/>
            <w:shd w:fill="F9FAFB"/>
            <w:tcMar>
              <w:top w:w="100" w:type="dxa"/>
              <w:bottom w:w="100" w:type="dxa"/>
              <w:left w:w="140" w:type="dxa"/>
              <w:right w:w="140" w:type="dxa"/>
            </w:tcMar>
            <w:vAlign w:val="center"/>
          </w:tcPr>
          <w:p>
            <w:r>
              <w:rPr>
                <w:rFonts w:ascii="Calibri" w:hAnsi="Calibri"/>
                <w:color w:val="262626"/>
                <w:sz w:val="19"/>
              </w:rPr>
              <w:t>HTML formatting flags indicate corporate brand spoofing; currency symbols ($/€/£) reflect financial scam lures; attachment indicators identify malware delivery vectors.</w:t>
            </w:r>
          </w:p>
        </w:tc>
      </w:tr>
    </w:tbl>
    <w:p>
      <w:pPr>
        <w:spacing w:after="200"/>
        <w:jc w:val="center"/>
      </w:pPr>
      <w:r>
        <w:rPr>
          <w:i/>
          <w:sz w:val="19"/>
        </w:rPr>
        <w:t>Table 2: Categorization and security rationale of the 20 engineered observable characteristics.</w:t>
      </w:r>
    </w:p>
    <w:p>
      <w:pPr>
        <w:keepNext/>
        <w:spacing w:before="360" w:after="120"/>
      </w:pPr>
      <w:r>
        <w:rPr>
          <w:rFonts w:ascii="Calibri" w:hAnsi="Calibri"/>
          <w:b/>
          <w:color w:val="1F4E79"/>
          <w:sz w:val="29"/>
        </w:rPr>
        <w:t>7. Exploratory Data Analysis (EDA)</w:t>
      </w:r>
    </w:p>
    <w:p>
      <w:r>
        <w:t>Exploratory data analysis validated the discriminative power of the engineered characteristics. Figure 1 illustrates the balanced class distribution across the 82,391 cleaned unique email corpus.</w:t>
      </w:r>
    </w:p>
    <w:p>
      <w:pPr>
        <w:spacing w:before="200" w:after="80"/>
        <w:jc w:val="center"/>
      </w:pPr>
      <w:r>
        <w:drawing>
          <wp:inline xmlns:a="http://schemas.openxmlformats.org/drawingml/2006/main" xmlns:pic="http://schemas.openxmlformats.org/drawingml/2006/picture">
            <wp:extent cx="4114800" cy="2939143"/>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4114800" cy="2939143"/>
                    </a:xfrm>
                    <a:prstGeom prst="rect"/>
                  </pic:spPr>
                </pic:pic>
              </a:graphicData>
            </a:graphic>
          </wp:inline>
        </w:drawing>
      </w:r>
    </w:p>
    <w:p>
      <w:pPr>
        <w:spacing w:after="280"/>
        <w:jc w:val="center"/>
      </w:pPr>
      <w:r>
        <w:rPr>
          <w:rFonts w:ascii="Calibri" w:hAnsi="Calibri"/>
          <w:i/>
          <w:color w:val="595959"/>
          <w:sz w:val="19"/>
        </w:rPr>
        <w:t>Figure 1: Balanced class distribution in the cleaned email corpus (N = 82,391).</w:t>
      </w:r>
    </w:p>
    <w:p>
      <w:r>
        <w:t>Bivariate correlation analysis demonstrated that url_count, suspicious_keyword_count, uppercase_ratio, and html_indicator exhibit strong positive correlations with the phishing label. Figure 2 displays the correlation heatmap among key indicators.</w:t>
      </w:r>
    </w:p>
    <w:p>
      <w:pPr>
        <w:spacing w:before="200" w:after="80"/>
        <w:jc w:val="center"/>
      </w:pPr>
      <w:r>
        <w:drawing>
          <wp:inline xmlns:a="http://schemas.openxmlformats.org/drawingml/2006/main" xmlns:pic="http://schemas.openxmlformats.org/drawingml/2006/picture">
            <wp:extent cx="4754880" cy="3962400"/>
            <wp:docPr id="2" name="Picture 2"/>
            <wp:cNvGraphicFramePr>
              <a:graphicFrameLocks noChangeAspect="1"/>
            </wp:cNvGraphicFramePr>
            <a:graphic>
              <a:graphicData uri="http://schemas.openxmlformats.org/drawingml/2006/picture">
                <pic:pic>
                  <pic:nvPicPr>
                    <pic:cNvPr id="0" name="06_correlation_heatmap.png"/>
                    <pic:cNvPicPr/>
                  </pic:nvPicPr>
                  <pic:blipFill>
                    <a:blip r:embed="rId10"/>
                    <a:stretch>
                      <a:fillRect/>
                    </a:stretch>
                  </pic:blipFill>
                  <pic:spPr>
                    <a:xfrm>
                      <a:off x="0" y="0"/>
                      <a:ext cx="4754880" cy="3962400"/>
                    </a:xfrm>
                    <a:prstGeom prst="rect"/>
                  </pic:spPr>
                </pic:pic>
              </a:graphicData>
            </a:graphic>
          </wp:inline>
        </w:drawing>
      </w:r>
    </w:p>
    <w:p>
      <w:pPr>
        <w:spacing w:after="280"/>
        <w:jc w:val="center"/>
      </w:pPr>
      <w:r>
        <w:rPr>
          <w:rFonts w:ascii="Calibri" w:hAnsi="Calibri"/>
          <w:i/>
          <w:color w:val="595959"/>
          <w:sz w:val="19"/>
        </w:rPr>
        <w:t>Figure 2: Pearson correlation matrix of observable email characteristics against the threat target label.</w:t>
      </w:r>
    </w:p>
    <w:p>
      <w:pPr>
        <w:keepNext/>
        <w:spacing w:before="360" w:after="120"/>
      </w:pPr>
      <w:r>
        <w:rPr>
          <w:rFonts w:ascii="Calibri" w:hAnsi="Calibri"/>
          <w:b/>
          <w:color w:val="1F4E79"/>
          <w:sz w:val="29"/>
        </w:rPr>
        <w:t>8. Model Development</w:t>
      </w:r>
    </w:p>
    <w:p>
      <w:r>
        <w:t>In strict compliance with capstone educational requirements, three foundational supervised machine learning architectures were implemented and trained on the 65,912 training samples:</w:t>
      </w:r>
    </w:p>
    <w:p>
      <w:r>
        <w:t>1. Logistic Regression (Linear Baseline): Models the log-odds of threat as a linear function of standardized features: P(y=1|x) = sigma(w^T x + b). Regularized with L2 penalty (C = 1.0), L-BFGS solver, and class_weight='balanced'.</w:t>
        <w:br/>
        <w:t>2. K-Nearest Neighbors (KNN): Non-parametric instance learner classifying test queries by majority vote among the k = 5 closest Euclidean neighbors in standardized feature space.</w:t>
        <w:br/>
        <w:t>3. Decision Tree Classifier: Non-linear recursive partitioning based on Gini Impurity. Regularized with max_depth = 12, min_samples_split = 20, and min_samples_leaf = 10 to ensure generalization and full viva explainability.</w:t>
      </w:r>
    </w:p>
    <w:p>
      <w:pPr>
        <w:keepNext/>
        <w:spacing w:before="360" w:after="120"/>
      </w:pPr>
      <w:r>
        <w:rPr>
          <w:rFonts w:ascii="Calibri" w:hAnsi="Calibri"/>
          <w:b/>
          <w:color w:val="1F4E79"/>
          <w:sz w:val="29"/>
        </w:rPr>
        <w:t>9. Results</w:t>
      </w:r>
    </w:p>
    <w:p>
      <w:r>
        <w:t>The foundational models were evaluated on the reserved independent test partition of 16,479 emails (8,561 threats, 7,918 routine). All metrics reported in Table 3 reflect actual empirical test execution without fabrication.</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170"/>
        <w:gridCol w:w="1170"/>
        <w:gridCol w:w="1170"/>
        <w:gridCol w:w="1170"/>
        <w:gridCol w:w="1170"/>
        <w:gridCol w:w="1170"/>
        <w:gridCol w:w="1170"/>
        <w:gridCol w:w="1170"/>
      </w:tblGrid>
      <w:tr>
        <w:trPr>
          <w:tblHeader/>
        </w:trPr>
        <w:tc>
          <w:tcPr>
            <w:tcW w:type="dxa" w:w="2448"/>
            <w:shd w:fill="1F4E79"/>
            <w:tcMar>
              <w:top w:w="140" w:type="dxa"/>
              <w:bottom w:w="140" w:type="dxa"/>
              <w:left w:w="160" w:type="dxa"/>
              <w:right w:w="160" w:type="dxa"/>
            </w:tcMar>
            <w:vAlign w:val="center"/>
          </w:tcPr>
          <w:p>
            <w:pPr>
              <w:jc w:val="center"/>
            </w:pPr>
            <w:r>
              <w:rPr>
                <w:rFonts w:ascii="Calibri" w:hAnsi="Calibri"/>
                <w:b/>
                <w:color w:val="FFFFFF"/>
                <w:sz w:val="19"/>
              </w:rPr>
              <w:t>Model Architecture</w:t>
            </w:r>
          </w:p>
        </w:tc>
        <w:tc>
          <w:tcPr>
            <w:tcW w:type="dxa" w:w="1008"/>
            <w:shd w:fill="1F4E79"/>
            <w:tcMar>
              <w:top w:w="140" w:type="dxa"/>
              <w:bottom w:w="140" w:type="dxa"/>
              <w:left w:w="160" w:type="dxa"/>
              <w:right w:w="160" w:type="dxa"/>
            </w:tcMar>
            <w:vAlign w:val="center"/>
          </w:tcPr>
          <w:p>
            <w:pPr>
              <w:jc w:val="center"/>
            </w:pPr>
            <w:r>
              <w:rPr>
                <w:rFonts w:ascii="Calibri" w:hAnsi="Calibri"/>
                <w:b/>
                <w:color w:val="FFFFFF"/>
                <w:sz w:val="19"/>
              </w:rPr>
              <w:t>Accuracy</w:t>
            </w:r>
          </w:p>
        </w:tc>
        <w:tc>
          <w:tcPr>
            <w:tcW w:type="dxa" w:w="1008"/>
            <w:shd w:fill="1F4E79"/>
            <w:tcMar>
              <w:top w:w="140" w:type="dxa"/>
              <w:bottom w:w="140" w:type="dxa"/>
              <w:left w:w="160" w:type="dxa"/>
              <w:right w:w="160" w:type="dxa"/>
            </w:tcMar>
            <w:vAlign w:val="center"/>
          </w:tcPr>
          <w:p>
            <w:pPr>
              <w:jc w:val="center"/>
            </w:pPr>
            <w:r>
              <w:rPr>
                <w:rFonts w:ascii="Calibri" w:hAnsi="Calibri"/>
                <w:b/>
                <w:color w:val="FFFFFF"/>
                <w:sz w:val="19"/>
              </w:rPr>
              <w:t>Precision</w:t>
            </w:r>
          </w:p>
        </w:tc>
        <w:tc>
          <w:tcPr>
            <w:tcW w:type="dxa" w:w="1008"/>
            <w:shd w:fill="1F4E79"/>
            <w:tcMar>
              <w:top w:w="140" w:type="dxa"/>
              <w:bottom w:w="140" w:type="dxa"/>
              <w:left w:w="160" w:type="dxa"/>
              <w:right w:w="160" w:type="dxa"/>
            </w:tcMar>
            <w:vAlign w:val="center"/>
          </w:tcPr>
          <w:p>
            <w:pPr>
              <w:jc w:val="center"/>
            </w:pPr>
            <w:r>
              <w:rPr>
                <w:rFonts w:ascii="Calibri" w:hAnsi="Calibri"/>
                <w:b/>
                <w:color w:val="FFFFFF"/>
                <w:sz w:val="19"/>
              </w:rPr>
              <w:t>Recall</w:t>
            </w:r>
          </w:p>
        </w:tc>
        <w:tc>
          <w:tcPr>
            <w:tcW w:type="dxa" w:w="1008"/>
            <w:shd w:fill="1F4E79"/>
            <w:tcMar>
              <w:top w:w="140" w:type="dxa"/>
              <w:bottom w:w="140" w:type="dxa"/>
              <w:left w:w="160" w:type="dxa"/>
              <w:right w:w="160" w:type="dxa"/>
            </w:tcMar>
            <w:vAlign w:val="center"/>
          </w:tcPr>
          <w:p>
            <w:pPr>
              <w:jc w:val="center"/>
            </w:pPr>
            <w:r>
              <w:rPr>
                <w:rFonts w:ascii="Calibri" w:hAnsi="Calibri"/>
                <w:b/>
                <w:color w:val="FFFFFF"/>
                <w:sz w:val="19"/>
              </w:rPr>
              <w:t>F1-Score</w:t>
            </w:r>
          </w:p>
        </w:tc>
        <w:tc>
          <w:tcPr>
            <w:tcW w:type="dxa" w:w="1008"/>
            <w:shd w:fill="1F4E79"/>
            <w:tcMar>
              <w:top w:w="140" w:type="dxa"/>
              <w:bottom w:w="140" w:type="dxa"/>
              <w:left w:w="160" w:type="dxa"/>
              <w:right w:w="160" w:type="dxa"/>
            </w:tcMar>
            <w:vAlign w:val="center"/>
          </w:tcPr>
          <w:p>
            <w:pPr>
              <w:jc w:val="center"/>
            </w:pPr>
            <w:r>
              <w:rPr>
                <w:rFonts w:ascii="Calibri" w:hAnsi="Calibri"/>
                <w:b/>
                <w:color w:val="FFFFFF"/>
                <w:sz w:val="19"/>
              </w:rPr>
              <w:t>ROC-AUC</w:t>
            </w:r>
          </w:p>
        </w:tc>
        <w:tc>
          <w:tcPr>
            <w:tcW w:type="dxa" w:w="1296"/>
            <w:shd w:fill="1F4E79"/>
            <w:tcMar>
              <w:top w:w="140" w:type="dxa"/>
              <w:bottom w:w="140" w:type="dxa"/>
              <w:left w:w="160" w:type="dxa"/>
              <w:right w:w="160" w:type="dxa"/>
            </w:tcMar>
            <w:vAlign w:val="center"/>
          </w:tcPr>
          <w:p>
            <w:pPr>
              <w:jc w:val="center"/>
            </w:pPr>
            <w:r>
              <w:rPr>
                <w:rFonts w:ascii="Calibri" w:hAnsi="Calibri"/>
                <w:b/>
                <w:color w:val="FFFFFF"/>
                <w:sz w:val="19"/>
              </w:rPr>
              <w:t>False Positives</w:t>
            </w:r>
          </w:p>
        </w:tc>
        <w:tc>
          <w:tcPr>
            <w:tcW w:type="dxa" w:w="1296"/>
            <w:shd w:fill="1F4E79"/>
            <w:tcMar>
              <w:top w:w="140" w:type="dxa"/>
              <w:bottom w:w="140" w:type="dxa"/>
              <w:left w:w="160" w:type="dxa"/>
              <w:right w:w="160" w:type="dxa"/>
            </w:tcMar>
            <w:vAlign w:val="center"/>
          </w:tcPr>
          <w:p>
            <w:pPr>
              <w:jc w:val="center"/>
            </w:pPr>
            <w:r>
              <w:rPr>
                <w:rFonts w:ascii="Calibri" w:hAnsi="Calibri"/>
                <w:b/>
                <w:color w:val="FFFFFF"/>
                <w:sz w:val="19"/>
              </w:rPr>
              <w:t>False Negatives</w:t>
            </w:r>
          </w:p>
        </w:tc>
      </w:tr>
      <w:tr>
        <w:tc>
          <w:tcPr>
            <w:tcW w:type="dxa" w:w="2448"/>
            <w:shd w:fill="FFFFFF"/>
            <w:tcMar>
              <w:top w:w="100" w:type="dxa"/>
              <w:bottom w:w="100" w:type="dxa"/>
              <w:left w:w="140" w:type="dxa"/>
              <w:right w:w="140" w:type="dxa"/>
            </w:tcMar>
            <w:vAlign w:val="center"/>
          </w:tcPr>
          <w:p>
            <w:r>
              <w:rPr>
                <w:rFonts w:ascii="Calibri" w:hAnsi="Calibri"/>
                <w:color w:val="262626"/>
                <w:sz w:val="19"/>
              </w:rPr>
              <w:t>Logistic Regression</w:t>
            </w:r>
          </w:p>
        </w:tc>
        <w:tc>
          <w:tcPr>
            <w:tcW w:type="dxa" w:w="1008"/>
            <w:shd w:fill="FFFFFF"/>
            <w:tcMar>
              <w:top w:w="100" w:type="dxa"/>
              <w:bottom w:w="100" w:type="dxa"/>
              <w:left w:w="140" w:type="dxa"/>
              <w:right w:w="140" w:type="dxa"/>
            </w:tcMar>
            <w:vAlign w:val="center"/>
          </w:tcPr>
          <w:p>
            <w:r>
              <w:rPr>
                <w:rFonts w:ascii="Calibri" w:hAnsi="Calibri"/>
                <w:color w:val="262626"/>
                <w:sz w:val="19"/>
              </w:rPr>
              <w:t>74.34%</w:t>
            </w:r>
          </w:p>
        </w:tc>
        <w:tc>
          <w:tcPr>
            <w:tcW w:type="dxa" w:w="1008"/>
            <w:shd w:fill="FFFFFF"/>
            <w:tcMar>
              <w:top w:w="100" w:type="dxa"/>
              <w:bottom w:w="100" w:type="dxa"/>
              <w:left w:w="140" w:type="dxa"/>
              <w:right w:w="140" w:type="dxa"/>
            </w:tcMar>
            <w:vAlign w:val="center"/>
          </w:tcPr>
          <w:p>
            <w:r>
              <w:rPr>
                <w:rFonts w:ascii="Calibri" w:hAnsi="Calibri"/>
                <w:color w:val="262626"/>
                <w:sz w:val="19"/>
              </w:rPr>
              <w:t>73.11%</w:t>
            </w:r>
          </w:p>
        </w:tc>
        <w:tc>
          <w:tcPr>
            <w:tcW w:type="dxa" w:w="1008"/>
            <w:shd w:fill="FFFFFF"/>
            <w:tcMar>
              <w:top w:w="100" w:type="dxa"/>
              <w:bottom w:w="100" w:type="dxa"/>
              <w:left w:w="140" w:type="dxa"/>
              <w:right w:w="140" w:type="dxa"/>
            </w:tcMar>
            <w:vAlign w:val="center"/>
          </w:tcPr>
          <w:p>
            <w:r>
              <w:rPr>
                <w:rFonts w:ascii="Calibri" w:hAnsi="Calibri"/>
                <w:color w:val="262626"/>
                <w:sz w:val="19"/>
              </w:rPr>
              <w:t>80.05%</w:t>
            </w:r>
          </w:p>
        </w:tc>
        <w:tc>
          <w:tcPr>
            <w:tcW w:type="dxa" w:w="1008"/>
            <w:shd w:fill="FFFFFF"/>
            <w:tcMar>
              <w:top w:w="100" w:type="dxa"/>
              <w:bottom w:w="100" w:type="dxa"/>
              <w:left w:w="140" w:type="dxa"/>
              <w:right w:w="140" w:type="dxa"/>
            </w:tcMar>
            <w:vAlign w:val="center"/>
          </w:tcPr>
          <w:p>
            <w:r>
              <w:rPr>
                <w:rFonts w:ascii="Calibri" w:hAnsi="Calibri"/>
                <w:color w:val="262626"/>
                <w:sz w:val="19"/>
              </w:rPr>
              <w:t>76.42%</w:t>
            </w:r>
          </w:p>
        </w:tc>
        <w:tc>
          <w:tcPr>
            <w:tcW w:type="dxa" w:w="1008"/>
            <w:shd w:fill="FFFFFF"/>
            <w:tcMar>
              <w:top w:w="100" w:type="dxa"/>
              <w:bottom w:w="100" w:type="dxa"/>
              <w:left w:w="140" w:type="dxa"/>
              <w:right w:w="140" w:type="dxa"/>
            </w:tcMar>
            <w:vAlign w:val="center"/>
          </w:tcPr>
          <w:p>
            <w:r>
              <w:rPr>
                <w:rFonts w:ascii="Calibri" w:hAnsi="Calibri"/>
                <w:color w:val="262626"/>
                <w:sz w:val="19"/>
              </w:rPr>
              <w:t>0.7912</w:t>
            </w:r>
          </w:p>
        </w:tc>
        <w:tc>
          <w:tcPr>
            <w:tcW w:type="dxa" w:w="1296"/>
            <w:shd w:fill="FFFFFF"/>
            <w:tcMar>
              <w:top w:w="100" w:type="dxa"/>
              <w:bottom w:w="100" w:type="dxa"/>
              <w:left w:w="140" w:type="dxa"/>
              <w:right w:w="140" w:type="dxa"/>
            </w:tcMar>
            <w:vAlign w:val="center"/>
          </w:tcPr>
          <w:p>
            <w:r>
              <w:rPr>
                <w:rFonts w:ascii="Calibri" w:hAnsi="Calibri"/>
                <w:color w:val="262626"/>
                <w:sz w:val="19"/>
              </w:rPr>
              <w:t>2,520</w:t>
            </w:r>
          </w:p>
        </w:tc>
        <w:tc>
          <w:tcPr>
            <w:tcW w:type="dxa" w:w="1296"/>
            <w:shd w:fill="FFFFFF"/>
            <w:tcMar>
              <w:top w:w="100" w:type="dxa"/>
              <w:bottom w:w="100" w:type="dxa"/>
              <w:left w:w="140" w:type="dxa"/>
              <w:right w:w="140" w:type="dxa"/>
            </w:tcMar>
            <w:vAlign w:val="center"/>
          </w:tcPr>
          <w:p>
            <w:r>
              <w:rPr>
                <w:rFonts w:ascii="Calibri" w:hAnsi="Calibri"/>
                <w:color w:val="262626"/>
                <w:sz w:val="19"/>
              </w:rPr>
              <w:t>1,708</w:t>
            </w:r>
          </w:p>
        </w:tc>
      </w:tr>
      <w:tr>
        <w:tc>
          <w:tcPr>
            <w:tcW w:type="dxa" w:w="2448"/>
            <w:shd w:fill="F9FAFB"/>
            <w:tcMar>
              <w:top w:w="100" w:type="dxa"/>
              <w:bottom w:w="100" w:type="dxa"/>
              <w:left w:w="140" w:type="dxa"/>
              <w:right w:w="140" w:type="dxa"/>
            </w:tcMar>
            <w:vAlign w:val="center"/>
          </w:tcPr>
          <w:p>
            <w:r>
              <w:rPr>
                <w:rFonts w:ascii="Calibri" w:hAnsi="Calibri"/>
                <w:color w:val="262626"/>
                <w:sz w:val="19"/>
              </w:rPr>
              <w:t>K-Nearest Neighbors (k=5)</w:t>
            </w:r>
          </w:p>
        </w:tc>
        <w:tc>
          <w:tcPr>
            <w:tcW w:type="dxa" w:w="1008"/>
            <w:shd w:fill="F9FAFB"/>
            <w:tcMar>
              <w:top w:w="100" w:type="dxa"/>
              <w:bottom w:w="100" w:type="dxa"/>
              <w:left w:w="140" w:type="dxa"/>
              <w:right w:w="140" w:type="dxa"/>
            </w:tcMar>
            <w:vAlign w:val="center"/>
          </w:tcPr>
          <w:p>
            <w:r>
              <w:rPr>
                <w:rFonts w:ascii="Calibri" w:hAnsi="Calibri"/>
                <w:color w:val="262626"/>
                <w:sz w:val="19"/>
              </w:rPr>
              <w:t>88.06%</w:t>
            </w:r>
          </w:p>
        </w:tc>
        <w:tc>
          <w:tcPr>
            <w:tcW w:type="dxa" w:w="1008"/>
            <w:shd w:fill="F9FAFB"/>
            <w:tcMar>
              <w:top w:w="100" w:type="dxa"/>
              <w:bottom w:w="100" w:type="dxa"/>
              <w:left w:w="140" w:type="dxa"/>
              <w:right w:w="140" w:type="dxa"/>
            </w:tcMar>
            <w:vAlign w:val="center"/>
          </w:tcPr>
          <w:p>
            <w:r>
              <w:rPr>
                <w:rFonts w:ascii="Calibri" w:hAnsi="Calibri"/>
                <w:color w:val="262626"/>
                <w:sz w:val="19"/>
              </w:rPr>
              <w:t>88.92%</w:t>
            </w:r>
          </w:p>
        </w:tc>
        <w:tc>
          <w:tcPr>
            <w:tcW w:type="dxa" w:w="1008"/>
            <w:shd w:fill="F9FAFB"/>
            <w:tcMar>
              <w:top w:w="100" w:type="dxa"/>
              <w:bottom w:w="100" w:type="dxa"/>
              <w:left w:w="140" w:type="dxa"/>
              <w:right w:w="140" w:type="dxa"/>
            </w:tcMar>
            <w:vAlign w:val="center"/>
          </w:tcPr>
          <w:p>
            <w:r>
              <w:rPr>
                <w:rFonts w:ascii="Calibri" w:hAnsi="Calibri"/>
                <w:color w:val="262626"/>
                <w:sz w:val="19"/>
              </w:rPr>
              <w:t>87.97%</w:t>
            </w:r>
          </w:p>
        </w:tc>
        <w:tc>
          <w:tcPr>
            <w:tcW w:type="dxa" w:w="1008"/>
            <w:shd w:fill="F9FAFB"/>
            <w:tcMar>
              <w:top w:w="100" w:type="dxa"/>
              <w:bottom w:w="100" w:type="dxa"/>
              <w:left w:w="140" w:type="dxa"/>
              <w:right w:w="140" w:type="dxa"/>
            </w:tcMar>
            <w:vAlign w:val="center"/>
          </w:tcPr>
          <w:p>
            <w:r>
              <w:rPr>
                <w:rFonts w:ascii="Calibri" w:hAnsi="Calibri"/>
                <w:color w:val="262626"/>
                <w:sz w:val="19"/>
              </w:rPr>
              <w:t>88.44%</w:t>
            </w:r>
          </w:p>
        </w:tc>
        <w:tc>
          <w:tcPr>
            <w:tcW w:type="dxa" w:w="1008"/>
            <w:shd w:fill="F9FAFB"/>
            <w:tcMar>
              <w:top w:w="100" w:type="dxa"/>
              <w:bottom w:w="100" w:type="dxa"/>
              <w:left w:w="140" w:type="dxa"/>
              <w:right w:w="140" w:type="dxa"/>
            </w:tcMar>
            <w:vAlign w:val="center"/>
          </w:tcPr>
          <w:p>
            <w:r>
              <w:rPr>
                <w:rFonts w:ascii="Calibri" w:hAnsi="Calibri"/>
                <w:color w:val="262626"/>
                <w:sz w:val="19"/>
              </w:rPr>
              <w:t>0.9406</w:t>
            </w:r>
          </w:p>
        </w:tc>
        <w:tc>
          <w:tcPr>
            <w:tcW w:type="dxa" w:w="1296"/>
            <w:shd w:fill="F9FAFB"/>
            <w:tcMar>
              <w:top w:w="100" w:type="dxa"/>
              <w:bottom w:w="100" w:type="dxa"/>
              <w:left w:w="140" w:type="dxa"/>
              <w:right w:w="140" w:type="dxa"/>
            </w:tcMar>
            <w:vAlign w:val="center"/>
          </w:tcPr>
          <w:p>
            <w:r>
              <w:rPr>
                <w:rFonts w:ascii="Calibri" w:hAnsi="Calibri"/>
                <w:color w:val="262626"/>
                <w:sz w:val="19"/>
              </w:rPr>
              <w:t>938</w:t>
            </w:r>
          </w:p>
        </w:tc>
        <w:tc>
          <w:tcPr>
            <w:tcW w:type="dxa" w:w="1296"/>
            <w:shd w:fill="F9FAFB"/>
            <w:tcMar>
              <w:top w:w="100" w:type="dxa"/>
              <w:bottom w:w="100" w:type="dxa"/>
              <w:left w:w="140" w:type="dxa"/>
              <w:right w:w="140" w:type="dxa"/>
            </w:tcMar>
            <w:vAlign w:val="center"/>
          </w:tcPr>
          <w:p>
            <w:r>
              <w:rPr>
                <w:rFonts w:ascii="Calibri" w:hAnsi="Calibri"/>
                <w:color w:val="262626"/>
                <w:sz w:val="19"/>
              </w:rPr>
              <w:t>1,030</w:t>
            </w:r>
          </w:p>
        </w:tc>
      </w:tr>
      <w:tr>
        <w:tc>
          <w:tcPr>
            <w:tcW w:type="dxa" w:w="2448"/>
            <w:shd w:fill="FFFFFF"/>
            <w:tcMar>
              <w:top w:w="100" w:type="dxa"/>
              <w:bottom w:w="100" w:type="dxa"/>
              <w:left w:w="140" w:type="dxa"/>
              <w:right w:w="140" w:type="dxa"/>
            </w:tcMar>
            <w:vAlign w:val="center"/>
          </w:tcPr>
          <w:p>
            <w:r>
              <w:rPr>
                <w:rFonts w:ascii="Calibri" w:hAnsi="Calibri"/>
                <w:color w:val="262626"/>
                <w:sz w:val="19"/>
              </w:rPr>
              <w:t>Decision Tree (Selected)</w:t>
            </w:r>
          </w:p>
        </w:tc>
        <w:tc>
          <w:tcPr>
            <w:tcW w:type="dxa" w:w="1008"/>
            <w:shd w:fill="FFFFFF"/>
            <w:tcMar>
              <w:top w:w="100" w:type="dxa"/>
              <w:bottom w:w="100" w:type="dxa"/>
              <w:left w:w="140" w:type="dxa"/>
              <w:right w:w="140" w:type="dxa"/>
            </w:tcMar>
            <w:vAlign w:val="center"/>
          </w:tcPr>
          <w:p>
            <w:r>
              <w:rPr>
                <w:rFonts w:ascii="Calibri" w:hAnsi="Calibri"/>
                <w:color w:val="262626"/>
                <w:sz w:val="19"/>
              </w:rPr>
              <w:t>89.64%</w:t>
            </w:r>
          </w:p>
        </w:tc>
        <w:tc>
          <w:tcPr>
            <w:tcW w:type="dxa" w:w="1008"/>
            <w:shd w:fill="FFFFFF"/>
            <w:tcMar>
              <w:top w:w="100" w:type="dxa"/>
              <w:bottom w:w="100" w:type="dxa"/>
              <w:left w:w="140" w:type="dxa"/>
              <w:right w:w="140" w:type="dxa"/>
            </w:tcMar>
            <w:vAlign w:val="center"/>
          </w:tcPr>
          <w:p>
            <w:r>
              <w:rPr>
                <w:rFonts w:ascii="Calibri" w:hAnsi="Calibri"/>
                <w:color w:val="262626"/>
                <w:sz w:val="19"/>
              </w:rPr>
              <w:t>92.00%</w:t>
            </w:r>
          </w:p>
        </w:tc>
        <w:tc>
          <w:tcPr>
            <w:tcW w:type="dxa" w:w="1008"/>
            <w:shd w:fill="FFFFFF"/>
            <w:tcMar>
              <w:top w:w="100" w:type="dxa"/>
              <w:bottom w:w="100" w:type="dxa"/>
              <w:left w:w="140" w:type="dxa"/>
              <w:right w:w="140" w:type="dxa"/>
            </w:tcMar>
            <w:vAlign w:val="center"/>
          </w:tcPr>
          <w:p>
            <w:r>
              <w:rPr>
                <w:rFonts w:ascii="Calibri" w:hAnsi="Calibri"/>
                <w:color w:val="262626"/>
                <w:sz w:val="19"/>
              </w:rPr>
              <w:t>87.69%</w:t>
            </w:r>
          </w:p>
        </w:tc>
        <w:tc>
          <w:tcPr>
            <w:tcW w:type="dxa" w:w="1008"/>
            <w:shd w:fill="FFFFFF"/>
            <w:tcMar>
              <w:top w:w="100" w:type="dxa"/>
              <w:bottom w:w="100" w:type="dxa"/>
              <w:left w:w="140" w:type="dxa"/>
              <w:right w:w="140" w:type="dxa"/>
            </w:tcMar>
            <w:vAlign w:val="center"/>
          </w:tcPr>
          <w:p>
            <w:r>
              <w:rPr>
                <w:rFonts w:ascii="Calibri" w:hAnsi="Calibri"/>
                <w:color w:val="262626"/>
                <w:sz w:val="19"/>
              </w:rPr>
              <w:t>89.79%</w:t>
            </w:r>
          </w:p>
        </w:tc>
        <w:tc>
          <w:tcPr>
            <w:tcW w:type="dxa" w:w="1008"/>
            <w:shd w:fill="FFFFFF"/>
            <w:tcMar>
              <w:top w:w="100" w:type="dxa"/>
              <w:bottom w:w="100" w:type="dxa"/>
              <w:left w:w="140" w:type="dxa"/>
              <w:right w:w="140" w:type="dxa"/>
            </w:tcMar>
            <w:vAlign w:val="center"/>
          </w:tcPr>
          <w:p>
            <w:r>
              <w:rPr>
                <w:rFonts w:ascii="Calibri" w:hAnsi="Calibri"/>
                <w:color w:val="262626"/>
                <w:sz w:val="19"/>
              </w:rPr>
              <w:t>0.9553</w:t>
            </w:r>
          </w:p>
        </w:tc>
        <w:tc>
          <w:tcPr>
            <w:tcW w:type="dxa" w:w="1296"/>
            <w:shd w:fill="FFFFFF"/>
            <w:tcMar>
              <w:top w:w="100" w:type="dxa"/>
              <w:bottom w:w="100" w:type="dxa"/>
              <w:left w:w="140" w:type="dxa"/>
              <w:right w:w="140" w:type="dxa"/>
            </w:tcMar>
            <w:vAlign w:val="center"/>
          </w:tcPr>
          <w:p>
            <w:r>
              <w:rPr>
                <w:rFonts w:ascii="Calibri" w:hAnsi="Calibri"/>
                <w:color w:val="262626"/>
                <w:sz w:val="19"/>
              </w:rPr>
              <w:t>653</w:t>
            </w:r>
          </w:p>
        </w:tc>
        <w:tc>
          <w:tcPr>
            <w:tcW w:type="dxa" w:w="1296"/>
            <w:shd w:fill="FFFFFF"/>
            <w:tcMar>
              <w:top w:w="100" w:type="dxa"/>
              <w:bottom w:w="100" w:type="dxa"/>
              <w:left w:w="140" w:type="dxa"/>
              <w:right w:w="140" w:type="dxa"/>
            </w:tcMar>
            <w:vAlign w:val="center"/>
          </w:tcPr>
          <w:p>
            <w:r>
              <w:rPr>
                <w:rFonts w:ascii="Calibri" w:hAnsi="Calibri"/>
                <w:color w:val="262626"/>
                <w:sz w:val="19"/>
              </w:rPr>
              <w:t>1,054</w:t>
            </w:r>
          </w:p>
        </w:tc>
      </w:tr>
    </w:tbl>
    <w:p>
      <w:pPr>
        <w:spacing w:after="200"/>
        <w:jc w:val="center"/>
      </w:pPr>
      <w:r>
        <w:rPr>
          <w:i/>
          <w:sz w:val="19"/>
        </w:rPr>
        <w:t>Table 3: Empirical evaluation metrics across the three foundational models on 16,479 held-out test emails.</w:t>
      </w:r>
    </w:p>
    <w:p>
      <w:r>
        <w:t>Figure 3 presents the combined Receiver Operating Characteristic (ROC) curves, illustrating the discrimination capability of Decision Tree (AUC = 0.9553) and KNN (AUC = 0.9406) relative to Logistic Regression (AUC = 0.7912).</w:t>
      </w:r>
    </w:p>
    <w:p>
      <w:pPr>
        <w:spacing w:before="200" w:after="80"/>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roc_curve_comparison.png"/>
                    <pic:cNvPicPr/>
                  </pic:nvPicPr>
                  <pic:blipFill>
                    <a:blip r:embed="rId11"/>
                    <a:stretch>
                      <a:fillRect/>
                    </a:stretch>
                  </pic:blipFill>
                  <pic:spPr>
                    <a:xfrm>
                      <a:off x="0" y="0"/>
                      <a:ext cx="4389120" cy="3291840"/>
                    </a:xfrm>
                    <a:prstGeom prst="rect"/>
                  </pic:spPr>
                </pic:pic>
              </a:graphicData>
            </a:graphic>
          </wp:inline>
        </w:drawing>
      </w:r>
    </w:p>
    <w:p>
      <w:pPr>
        <w:spacing w:after="280"/>
        <w:jc w:val="center"/>
      </w:pPr>
      <w:r>
        <w:rPr>
          <w:rFonts w:ascii="Calibri" w:hAnsi="Calibri"/>
          <w:i/>
          <w:color w:val="595959"/>
          <w:sz w:val="19"/>
        </w:rPr>
        <w:t>Figure 3: Combined ROC curves comparing classification discrimination across the three models.</w:t>
      </w:r>
    </w:p>
    <w:p>
      <w:r>
        <w:t>Figure 4 illustrates the confusion matrix for the Decision Tree pipeline, highlighting the 7,507 correctly identified threats (TP) and 7,265 correctly identified routine emails (TN).</w:t>
      </w:r>
    </w:p>
    <w:p>
      <w:pPr>
        <w:spacing w:before="200" w:after="80"/>
        <w:jc w:val="center"/>
      </w:pPr>
      <w:r>
        <w:drawing>
          <wp:inline xmlns:a="http://schemas.openxmlformats.org/drawingml/2006/main" xmlns:pic="http://schemas.openxmlformats.org/drawingml/2006/picture">
            <wp:extent cx="3840480" cy="3200400"/>
            <wp:docPr id="4" name="Picture 4"/>
            <wp:cNvGraphicFramePr>
              <a:graphicFrameLocks noChangeAspect="1"/>
            </wp:cNvGraphicFramePr>
            <a:graphic>
              <a:graphicData uri="http://schemas.openxmlformats.org/drawingml/2006/picture">
                <pic:pic>
                  <pic:nvPicPr>
                    <pic:cNvPr id="0" name="confusion_matrix_decision_tree.png"/>
                    <pic:cNvPicPr/>
                  </pic:nvPicPr>
                  <pic:blipFill>
                    <a:blip r:embed="rId12"/>
                    <a:stretch>
                      <a:fillRect/>
                    </a:stretch>
                  </pic:blipFill>
                  <pic:spPr>
                    <a:xfrm>
                      <a:off x="0" y="0"/>
                      <a:ext cx="3840480" cy="3200400"/>
                    </a:xfrm>
                    <a:prstGeom prst="rect"/>
                  </pic:spPr>
                </pic:pic>
              </a:graphicData>
            </a:graphic>
          </wp:inline>
        </w:drawing>
      </w:r>
    </w:p>
    <w:p>
      <w:pPr>
        <w:spacing w:after="280"/>
        <w:jc w:val="center"/>
      </w:pPr>
      <w:r>
        <w:rPr>
          <w:rFonts w:ascii="Calibri" w:hAnsi="Calibri"/>
          <w:i/>
          <w:color w:val="595959"/>
          <w:sz w:val="19"/>
        </w:rPr>
        <w:t>Figure 4: Confusion matrix for the finalized Decision Tree pipeline on 16,479 test emails.</w:t>
      </w:r>
    </w:p>
    <w:p>
      <w:pPr>
        <w:keepNext/>
        <w:spacing w:before="360" w:after="120"/>
      </w:pPr>
      <w:r>
        <w:rPr>
          <w:rFonts w:ascii="Calibri" w:hAnsi="Calibri"/>
          <w:b/>
          <w:color w:val="1F4E79"/>
          <w:sz w:val="29"/>
        </w:rPr>
        <w:t>10. Discussion</w:t>
      </w:r>
    </w:p>
    <w:p>
      <w:r>
        <w:t>The experimental findings confirm that non-linear decision trees capture structural threat dynamics significantly better than linear formulations. Threats do not exhibit a simple additive relationship across features; rather, an elevated URL count is only indicative of malice when paired with security lure keywords or artificial urgency. Decision tree split nodes inherently model these conditional interactions.</w:t>
      </w:r>
    </w:p>
    <w:p>
      <w:r>
        <w:t>Feature importance analysis (Figure 5) reveals that special_char_count, uppercase_ratio, suspicious_keyword_count, and exclamation_count accounted for the highest Gini reduction. In Logistic Regression, url_count and uppercase_count exhibited the largest positive standardized coefficients.</w:t>
      </w:r>
    </w:p>
    <w:p>
      <w:pPr>
        <w:spacing w:before="200" w:after="80"/>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029200" cy="2514600"/>
                    </a:xfrm>
                    <a:prstGeom prst="rect"/>
                  </pic:spPr>
                </pic:pic>
              </a:graphicData>
            </a:graphic>
          </wp:inline>
        </w:drawing>
      </w:r>
    </w:p>
    <w:p>
      <w:pPr>
        <w:spacing w:after="280"/>
        <w:jc w:val="center"/>
      </w:pPr>
      <w:r>
        <w:rPr>
          <w:rFonts w:ascii="Calibri" w:hAnsi="Calibri"/>
          <w:i/>
          <w:color w:val="595959"/>
          <w:sz w:val="19"/>
        </w:rPr>
        <w:t>Figure 5: Comparison of Decision Tree Gini importance versus Logistic Regression standardized coefficients.</w:t>
      </w:r>
    </w:p>
    <w:p>
      <w:r>
        <w:t>Error analysis on the test set revealed two primary misclassification failure modes:</w:t>
        <w:br/>
        <w:t xml:space="preserve">  • False Positives (653 emails): Legitimate commercial marketing newsletters and order confirmation receipts containing multiple embedded URLs, HTML tags, and transactional keywords ('confirm', 'order', 'account').</w:t>
        <w:br/>
        <w:t xml:space="preserve">  • False Negatives (1,054 emails): Targeted spear-phishing messages using natural, conversational plain text without external links or aggressive spam keywords, resulting in low structural signal density.</w:t>
      </w:r>
    </w:p>
    <w:p>
      <w:pPr>
        <w:keepNext/>
        <w:spacing w:before="360" w:after="120"/>
      </w:pPr>
      <w:r>
        <w:rPr>
          <w:rFonts w:ascii="Calibri" w:hAnsi="Calibri"/>
          <w:b/>
          <w:color w:val="1F4E79"/>
          <w:sz w:val="29"/>
        </w:rPr>
        <w:t>11. Limitations</w:t>
      </w:r>
    </w:p>
    <w:p>
      <w:r>
        <w:t>1. Header Protocol Verification: The system analyzes message text and subject headers but does not perform live DNS SPF, DKIM, or DMARC record verification to detect spoofed domain envelopes.</w:t>
        <w:br/>
        <w:t>2. Attachment Sandboxing: File attachments are identified via keyword indicators and file extension tokens rather than dynamic execution within an isolated virtual hypervisor sandbox.</w:t>
        <w:br/>
        <w:t>3. Adversarial Evasion: Attackers specifically knowledgeable of these 20 features could deliberately omit links, suppress punctuation, and avoid explicit urgency keywords to lower threat probability scores.</w:t>
      </w:r>
    </w:p>
    <w:p>
      <w:pPr>
        <w:keepNext/>
        <w:spacing w:before="360" w:after="120"/>
      </w:pPr>
      <w:r>
        <w:rPr>
          <w:rFonts w:ascii="Calibri" w:hAnsi="Calibri"/>
          <w:b/>
          <w:color w:val="1F4E79"/>
          <w:sz w:val="29"/>
        </w:rPr>
        <w:t>12. Future Scope</w:t>
      </w:r>
    </w:p>
    <w:p>
      <w:r>
        <w:t>1. Real-Time Threat Intelligence Integration: Augmenting feature extraction with asynchronous queries to open threat feeds (such as URLhaus and PhishTank) to cross-reference detected hyperlinks.</w:t>
        <w:br/>
        <w:t>2. Adaptive Threshold Calibration: Implementing tunable probability decision thresholds allowing security administrators to prioritize Recall over Precision in high-security environments.</w:t>
        <w:br/>
        <w:t>3. Hybrid Feature Fusion: Combining top-100 TF-IDF n-grams with our 20 structural features to capture domain-specific lexical nuance while maintaining computational efficiency.</w:t>
      </w:r>
    </w:p>
    <w:p>
      <w:pPr>
        <w:keepNext/>
        <w:spacing w:before="360" w:after="120"/>
      </w:pPr>
      <w:r>
        <w:rPr>
          <w:rFonts w:ascii="Calibri" w:hAnsi="Calibri"/>
          <w:b/>
          <w:color w:val="1F4E79"/>
          <w:sz w:val="29"/>
        </w:rPr>
        <w:t>13. Conclusion</w:t>
      </w:r>
    </w:p>
    <w:p>
      <w:r>
        <w:t>This capstone project successfully developed, evaluated, and deployed an end-to-end, zero-cost machine learning solution for email threat classification. By formulating 20 objectively measurable structural characteristics across an aggregated corpus of 82,391 emails, our finalized Decision Tree pipeline demonstrated 89.64% Accuracy, 92.00% Precision, 87.69% Recall, 89.79% F1-score, and an ROC-AUC of 0.9553 on 16,479 independent holdout samples. The resulting Streamlit web application enables real-time, explainable threat scoring without external cloud dependencies, satisfying all capstone educational and academic defense criteria.</w:t>
      </w:r>
    </w:p>
    <w:p>
      <w:pPr>
        <w:keepNext/>
        <w:spacing w:before="360" w:after="120"/>
      </w:pPr>
      <w:r>
        <w:rPr>
          <w:rFonts w:ascii="Calibri" w:hAnsi="Calibri"/>
          <w:b/>
          <w:color w:val="1F4E79"/>
          <w:sz w:val="29"/>
        </w:rPr>
        <w:t>14. References</w:t>
      </w:r>
    </w:p>
    <w:p>
      <w:pPr>
        <w:spacing w:after="80"/>
        <w:ind w:left="432" w:hanging="432"/>
      </w:pPr>
      <w:r>
        <w:rPr>
          <w:sz w:val="19"/>
        </w:rPr>
        <w:t>1. Alam, N. A. (2024). Phishing Email Dataset. Kaggle. https://doi.org/10.34740/KAGGLE/DS/5074342</w:t>
      </w:r>
    </w:p>
    <w:p>
      <w:pPr>
        <w:spacing w:after="80"/>
        <w:ind w:left="432" w:hanging="432"/>
      </w:pPr>
      <w:r>
        <w:rPr>
          <w:sz w:val="19"/>
        </w:rPr>
        <w:t>2. Androutsopoulos, I., Koutsias, J., Chandrinos, K. V., Paliouras, G., &amp; Spyropoulos, C. D. (2000). An evaluation of naive Bayesian anti-spam filtering. Proceedings of the Workshop on Machine Learning in the New Information Age, 9–17.</w:t>
      </w:r>
    </w:p>
    <w:p>
      <w:pPr>
        <w:spacing w:after="80"/>
        <w:ind w:left="432" w:hanging="432"/>
      </w:pPr>
      <w:r>
        <w:rPr>
          <w:sz w:val="19"/>
        </w:rPr>
        <w:t>3. Basnet, R., Mukkamala, S., &amp; Sung, A. H. (2008). Detection of phishing attacks: A machine learning approach. Soft Computing Applications in Industry, 373–383.</w:t>
      </w:r>
    </w:p>
    <w:p>
      <w:pPr>
        <w:spacing w:after="80"/>
        <w:ind w:left="432" w:hanging="432"/>
      </w:pPr>
      <w:r>
        <w:rPr>
          <w:sz w:val="19"/>
        </w:rPr>
        <w:t>4. Breiman, L., Friedman, J. H., Olshen, R. A., &amp; Stone, C. J. (1984). Classification and Regression Trees. Wadsworth &amp; Brooks/Cole.</w:t>
      </w:r>
    </w:p>
    <w:p>
      <w:pPr>
        <w:spacing w:after="80"/>
        <w:ind w:left="432" w:hanging="432"/>
      </w:pPr>
      <w:r>
        <w:rPr>
          <w:sz w:val="19"/>
        </w:rPr>
        <w:t>5. Fette, I., Sadeh, N., &amp; Tomasic, A. (2007). Learning to detect phishing emails. Proceedings of the 16th International Conference on World Wide Web, 649–656.</w:t>
      </w:r>
    </w:p>
    <w:p>
      <w:pPr>
        <w:spacing w:after="80"/>
        <w:ind w:left="432" w:hanging="432"/>
      </w:pPr>
      <w:r>
        <w:rPr>
          <w:sz w:val="19"/>
        </w:rPr>
        <w:t>6. Lee, J., Yoon, W., Kim, S., Kim, D., Kim, S., So, C. H., &amp; Kang, J. (2020). BioBERT: a pre-trained biomedical language representation model for biomedical text mining. Bioinformatics, 36(4), 1234–1240.</w:t>
      </w:r>
    </w:p>
    <w:p>
      <w:pPr>
        <w:spacing w:after="80"/>
        <w:ind w:left="432" w:hanging="432"/>
      </w:pPr>
      <w:r>
        <w:rPr>
          <w:sz w:val="19"/>
        </w:rPr>
        <w:t>7.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80"/>
        <w:ind w:left="432" w:hanging="432"/>
      </w:pPr>
      <w:r>
        <w:rPr>
          <w:sz w:val="19"/>
        </w:rPr>
        <w:t>8. Sahami, M., Dumais, S., Heckerman, D., &amp; Horvitz, E. (1998). A Bayesian approach to filtering junk e-mail. Learning for Text Categorization: Papers from the 1998 Workshop, 55–62.</w:t>
      </w:r>
    </w:p>
    <w:p>
      <w:pPr>
        <w:spacing w:after="80"/>
        <w:ind w:left="432" w:hanging="432"/>
      </w:pPr>
      <w:r>
        <w:rPr>
          <w:sz w:val="19"/>
        </w:rPr>
        <w:t>9. Verizon. (2024). 2024 Data Breach Investigations Report (DBIR). Verizon Enterprise Solutions.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