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CLM email routing</w:t>
      </w:r>
    </w:p>
    <w:p>
      <w:pPr>
        <w:pStyle w:val="Heading1"/>
      </w:pPr>
      <w:r>
        <w:t>Motivation, experiment findings</w:t>
        <w:br/>
        <w:t>and what they mean</w:t>
      </w:r>
    </w:p>
    <w:p>
      <w:pPr>
        <w:pStyle w:val="Subtitle"/>
      </w:pPr>
      <w:r>
        <w:t>Reading companion to the four-slide presentation</w:t>
      </w:r>
    </w:p>
    <w:p>
      <w:r>
        <w:t>Prepared from the local experiment plan and the notebook's saved outputs. The evaluation and training were not rerun to prepare this material.</w:t>
      </w:r>
    </w:p>
    <w:p>
      <w:pPr>
        <w:pStyle w:val="Heading2"/>
      </w:pPr>
      <w:r>
        <w:t>Executive summary</w:t>
      </w:r>
    </w:p>
    <w:p>
      <w:r>
        <w:t>The proposed routing design shares one frozen Qwen3-8B encoder across teams and specializes small CLM projection heads for their taxonomies. The notebook tests this adaptation mechanism on a synthetic six-class email benchmark. The released zero-shot head collapses to two labels; head-only supervised training restores all six and raises matched test accuracy from 26.88% to 97.59%.</w:t>
      </w:r>
    </w:p>
    <w:p>
      <w:r>
        <w:t>This is compelling evidence of in-distribution task adaptation, not proof of production readiness or of a unique CLM architecture advantage. Repeated synthetic content, an already-strong linear probe, and unmeasured real-world behavior define the next validation work.</w:t>
      </w:r>
    </w:p>
    <w:tbl>
      <w:tblPr>
        <w:tblStyle w:val="LightShading-Accent1"/>
        <w:tblW w:type="auto" w:w="0"/>
        <w:tblLook w:firstColumn="1" w:firstRow="1" w:lastColumn="0" w:lastRow="0" w:noHBand="0" w:noVBand="1" w:val="04A0"/>
      </w:tblPr>
      <w:tblGrid>
        <w:gridCol w:w="3202"/>
        <w:gridCol w:w="3202"/>
        <w:gridCol w:w="3202"/>
      </w:tblGrid>
      <w:tr>
        <w:tc>
          <w:tcPr>
            <w:tcW w:type="dxa" w:w="3202"/>
          </w:tcPr>
          <w:p>
            <w:r>
              <w:t>Slide</w:t>
            </w:r>
          </w:p>
        </w:tc>
        <w:tc>
          <w:tcPr>
            <w:tcW w:type="dxa" w:w="3202"/>
          </w:tcPr>
          <w:p>
            <w:r>
              <w:t>Core question</w:t>
            </w:r>
          </w:p>
        </w:tc>
        <w:tc>
          <w:tcPr>
            <w:tcW w:type="dxa" w:w="3202"/>
          </w:tcPr>
          <w:p>
            <w:r>
              <w:t>Main message</w:t>
            </w:r>
          </w:p>
        </w:tc>
      </w:tr>
      <w:tr>
        <w:tc>
          <w:tcPr>
            <w:tcW w:type="dxa" w:w="3202"/>
          </w:tcPr>
          <w:p>
            <w:r>
              <w:t>1</w:t>
            </w:r>
          </w:p>
        </w:tc>
        <w:tc>
          <w:tcPr>
            <w:tcW w:type="dxa" w:w="3202"/>
          </w:tcPr>
          <w:p>
            <w:r>
              <w:t>Why this architecture?</w:t>
            </w:r>
          </w:p>
        </w:tc>
        <w:tc>
          <w:tcPr>
            <w:tcW w:type="dxa" w:w="3202"/>
          </w:tcPr>
          <w:p>
            <w:r>
              <w:t>Specialize small heads; keep the shared encoder frozen.</w:t>
            </w:r>
          </w:p>
        </w:tc>
      </w:tr>
      <w:tr>
        <w:tc>
          <w:tcPr>
            <w:tcW w:type="dxa" w:w="3202"/>
          </w:tcPr>
          <w:p>
            <w:r>
              <w:t>2</w:t>
            </w:r>
          </w:p>
        </w:tc>
        <w:tc>
          <w:tcPr>
            <w:tcW w:type="dxa" w:w="3202"/>
          </w:tcPr>
          <w:p>
            <w:r>
              <w:t>What was controlled?</w:t>
            </w:r>
          </w:p>
        </w:tc>
        <w:tc>
          <w:tcPr>
            <w:tcW w:type="dxa" w:w="3202"/>
          </w:tcPr>
          <w:p>
            <w:r>
              <w:t>Fixed inputs, taxonomy and test rows; change the head.</w:t>
            </w:r>
          </w:p>
        </w:tc>
      </w:tr>
      <w:tr>
        <w:tc>
          <w:tcPr>
            <w:tcW w:type="dxa" w:w="3202"/>
          </w:tcPr>
          <w:p>
            <w:r>
              <w:t>3</w:t>
            </w:r>
          </w:p>
        </w:tc>
        <w:tc>
          <w:tcPr>
            <w:tcW w:type="dxa" w:w="3202"/>
          </w:tcPr>
          <w:p>
            <w:r>
              <w:t>What changed?</w:t>
            </w:r>
          </w:p>
        </w:tc>
        <w:tc>
          <w:tcPr>
            <w:tcW w:type="dxa" w:w="3202"/>
          </w:tcPr>
          <w:p>
            <w:r>
              <w:t>Large paired quality gain and recovery from class collapse.</w:t>
            </w:r>
          </w:p>
        </w:tc>
      </w:tr>
      <w:tr>
        <w:tc>
          <w:tcPr>
            <w:tcW w:type="dxa" w:w="3202"/>
          </w:tcPr>
          <w:p>
            <w:r>
              <w:t>4</w:t>
            </w:r>
          </w:p>
        </w:tc>
        <w:tc>
          <w:tcPr>
            <w:tcW w:type="dxa" w:w="3202"/>
          </w:tcPr>
          <w:p>
            <w:r>
              <w:t>What can we conclude?</w:t>
            </w:r>
          </w:p>
        </w:tc>
        <w:tc>
          <w:tcPr>
            <w:tcW w:type="dxa" w:w="3202"/>
          </w:tcPr>
          <w:p>
            <w:r>
              <w:t>Proceed to real-data validation with stronger controls.</w:t>
            </w:r>
          </w:p>
        </w:tc>
      </w:tr>
    </w:tbl>
    <w:p>
      <w:pPr>
        <w:pStyle w:val="Heading2"/>
      </w:pPr>
      <w:r>
        <w:t>How to use this companion</w:t>
      </w:r>
    </w:p>
    <w:p>
      <w:r>
        <w:t>Each following section corresponds to one slide, with presenter-ready explanation and interpretation. An appendix provides the exact metric table, reproduction checklist and source map. The PowerPoint also contains slide-specific speaker notes.</w:t>
      </w:r>
    </w:p>
    <w:p>
      <w:r>
        <w:t>Units: pp means percentage points. Macro F1 and calibration/error metrics are reported on a 0-to-1 scale unless explicitly shown as percentages.</w:t>
      </w:r>
    </w:p>
    <w:p>
      <w:r>
        <w:br w:type="page"/>
      </w:r>
    </w:p>
    <w:p>
      <w:pPr>
        <w:pStyle w:val="Heading1"/>
      </w:pPr>
      <w:r>
        <w:t>Slide 1 | Motivation and architecture</w:t>
      </w:r>
    </w:p>
    <w:p>
      <w:pPr>
        <w:pStyle w:val="Heading2"/>
      </w:pPr>
      <w:r>
        <w:t>Why this matters</w:t>
      </w:r>
    </w:p>
    <w:p>
      <w:r>
        <w:t>The experiment plan asks how to route requests across teams with different, evolving taxonomies without maintaining a full language model per team. Teams need independent quality improvement, rollback, and an explicit fallback when the router is uncertain. The proposed design shares a frozen Qwen3-8B encoder and selects a small team-specific CLM projection-head checkpoint using the request's model field.</w:t>
      </w:r>
    </w:p>
    <w:p>
      <w:pPr>
        <w:pStyle w:val="Heading2"/>
      </w:pPr>
      <w:r>
        <w:t>What CLM does</w:t>
      </w:r>
    </w:p>
    <w:p>
      <w:r>
        <w:t>CLM is a scorer, not a text generator. It embeds the request state and candidate descriptions, applies learned state/action projections, and scores the candidates. A typed Choice question maps naturally to a routing taxonomy. The reference checkpoint is about 75 MB; it contains the projection heads, not the 8B encoder. The encoder must stay compatible with its trained heads.</w:t>
      </w:r>
    </w:p>
    <w:p>
      <w:pPr>
        <w:pStyle w:val="Heading2"/>
      </w:pPr>
      <w:r>
        <w:t>Why test before training</w:t>
      </w:r>
    </w:p>
    <w:p>
      <w:r>
        <w:t>The plan starts with zero-shot category descriptions and trains a team head only when that configuration misses its target. This avoids unnecessary training while making the quality gate empirical. The email notebook supplies one concrete six-class proof of concept; it does not test multi-team serving or prove all of the plan's hypotheses.</w:t>
      </w:r>
    </w:p>
    <w:p>
      <w:pPr>
        <w:pStyle w:val="Heading2"/>
      </w:pPr>
      <w:r>
        <w:t>Hardware and scope</w:t>
      </w:r>
    </w:p>
    <w:p>
      <w:r>
        <w:t>The plan assesses one 24 GB RTX 3090 as feasible for a prototype because only the small heads train on cached embeddings. Its 3090 memory, throughput, and timing estimates are planning assumptions, not measured notebook findings. The notebook does not establish production throughput, availability, or multi-team isolation. No backbone LoRA is used in the reported experiment.</w:t>
      </w:r>
    </w:p>
    <w:p>
      <w:r>
        <w:br w:type="page"/>
      </w:r>
    </w:p>
    <w:p>
      <w:pPr>
        <w:pStyle w:val="Heading1"/>
      </w:pPr>
      <w:r>
        <w:t>Slide 2 | Experiment design and controls</w:t>
      </w:r>
    </w:p>
    <w:p>
      <w:pPr>
        <w:pStyle w:val="Heading2"/>
      </w:pPr>
      <w:r>
        <w:t>Dataset and request contract</w:t>
      </w:r>
    </w:p>
    <w:p>
      <w:r>
        <w:t>The dataset is jason23322/high-accuracy-email-classifier on Hugging Face, a synthetic, highly regular email benchmark. The task is a closed six-way classification: forum, promotions, social_media, spam, updates, and verify_code. The notebook forms each state from subject and body and asks one typed Choice question. It validates a real CLM server, records the full probability distribution, checkpoints predictions by email ID, and reports failures and coverage.</w:t>
      </w:r>
    </w:p>
    <w:p>
      <w:pPr>
        <w:pStyle w:val="Heading2"/>
      </w:pPr>
      <w:r>
        <w:t>Splits and selection</w:t>
      </w:r>
    </w:p>
    <w:p>
      <w:r>
        <w:t>The 10,780 published training rows are divided deterministically, with stratification and seed 42, into 8,624 fit rows and 2,156 development rows. The trainer also reserves 10% of fit IDs for internal validation. The published test contains 2,697 emails, roughly 449 to 451 per class. ID-disjointness and file/ID hashes are checked. ID-disjointness is not the same as content independence; later duplicate checks identify substantial repeated content.</w:t>
      </w:r>
    </w:p>
    <w:p>
      <w:pPr>
        <w:pStyle w:val="Heading2"/>
      </w:pPr>
      <w:r>
        <w:t>Controlled comparison</w:t>
      </w:r>
    </w:p>
    <w:p>
      <w:r>
        <w:t>The standardized before/after comparison uses identical published-test IDs, state representation, six labels, instructions, candidate descriptions, and temperature 1.0. The changed component is the task-specific projection head. The encoder stays frozen. Seed 42 is the declared final model, while seeds 123 and 2026 provide development-only stability checks. The notebook reports that final checkpoint selection was not based on published-test performance.</w:t>
      </w:r>
    </w:p>
    <w:p>
      <w:pPr>
        <w:pStyle w:val="Heading2"/>
      </w:pPr>
      <w:r>
        <w:t>Training recipe</w:t>
      </w:r>
    </w:p>
    <w:p>
      <w:r>
        <w:t>Training warm-starts from the released head and optimizes the state/action projections and logit scale with hard-label soft cross-entropy. The recipe uses learning rate 5e-4, batch size 256, weight decay 1e-4, up to 30 epochs, and patience 5 on internal-validation accuracy. Seed 42 selects epoch 12. Training runs in Linux/WSL with the GPU environment; the Windows notebook is the evaluation client.</w:t>
      </w:r>
    </w:p>
    <w:p>
      <w:pPr>
        <w:pStyle w:val="Heading2"/>
      </w:pPr>
      <w:r>
        <w:t>Temperature diagnostic</w:t>
      </w:r>
    </w:p>
    <w:p>
      <w:r>
        <w:t>The original diagnostic at temperature 0.1 produced extreme confidence and log loss 19.3741. Raising temperature to 1.0 lowers log loss to 3.2873 but leaves accuracy at 26.88% and macro F1 at 0.1399. Temperature rescales a fixed set of logits and does not fix their ordering. Use the temperature-1.0 baseline for all headline pre/post probability comparisons.</w:t>
      </w:r>
    </w:p>
    <w:p>
      <w:r>
        <w:br w:type="page"/>
      </w:r>
    </w:p>
    <w:p>
      <w:pPr>
        <w:pStyle w:val="Heading1"/>
      </w:pPr>
      <w:r>
        <w:t>Slide 3 | Findings and interpretation</w:t>
      </w:r>
    </w:p>
    <w:p>
      <w:pPr>
        <w:pStyle w:val="Heading2"/>
      </w:pPr>
      <w:r>
        <w:t>Headline outcome</w:t>
      </w:r>
    </w:p>
    <w:p>
      <w:r>
        <w:t>On the same 2,697 test emails at temperature 1.0, accuracy rises from 26.88% to 97.59%, a gain of 70.71 percentage points. Macro F1 rises from 0.1399 to 0.9759; this metric gives every class equal weight. Top-2 accuracy rises from 42.23% to 99.67%. The tuned model makes 65 errors versus 1,972 for the zero-shot baseline.</w:t>
      </w:r>
    </w:p>
    <w:p>
      <w:pPr>
        <w:pStyle w:val="Heading2"/>
      </w:pPr>
      <w:r>
        <w:t>Failure mode resolved</w:t>
      </w:r>
    </w:p>
    <w:p>
      <w:r>
        <w:t>The zero-shot reference model predicts only promotions (1,966 rows) and updates (731 rows), leaving four classes with zero recall. The tuned model predicts all six classes, with recall from 95.56% for forum to 99.11% for social_media. Its largest remaining error pairs are forum to social_media and verify_code to spam, with 15 cases each.</w:t>
      </w:r>
    </w:p>
    <w:p>
      <w:pPr>
        <w:pStyle w:val="Heading2"/>
      </w:pPr>
      <w:r>
        <w:t>Paired and calibration evidence</w:t>
      </w:r>
    </w:p>
    <w:p>
      <w:r>
        <w:t>Fine-tuning corrects 1,915 baseline mistakes while breaking 8 previously correct predictions. The notebook's class-stratified bootstrap 95% interval for the paired accuracy gain is +69.78 to +71.60 percentage points, conditional on this balanced benchmark. Ten-bin expected calibration error improves from 0.3406 to 0.0070; multiclass log loss improves from 3.2873 to 0.0707. The McNemar result underflows numerical precision; do not interpret the displayed 0.0 as a literal zero probability.</w:t>
      </w:r>
    </w:p>
    <w:p>
      <w:pPr>
        <w:pStyle w:val="Heading2"/>
      </w:pPr>
      <w:r>
        <w:t>Variance and latency</w:t>
      </w:r>
    </w:p>
    <w:p>
      <w:r>
        <w:t>Development accuracy across three training seeds averages 98.42%, with sample standard deviation 0.37 percentage points on a fixed outer split. Seed 42 has development accuracy 98.28% versus test accuracy 97.59%, a 0.69-point gap. A separate same-email, warm-cache benchmark over 200 requests reports median latency 1.5 ms for zero-shot and 3.2 ms for tuned. This is not new-email, cold-start, end-to-end production, or p95 latency evidence.</w:t>
      </w:r>
    </w:p>
    <w:p>
      <w:r>
        <w:t>Reading the headline: 97.59 - 26.88 = 70.71 percentage points. This is not a 70.71% relative improvement. The bootstrap interval describes the paired gain, not the fine-tuned accuracy in isolation.</w:t>
      </w:r>
    </w:p>
    <w:p>
      <w:r>
        <w:br w:type="page"/>
      </w:r>
    </w:p>
    <w:p>
      <w:pPr>
        <w:pStyle w:val="Heading1"/>
      </w:pPr>
      <w:r>
        <w:t>Slide 4 | Limits, controls and the next decision</w:t>
      </w:r>
    </w:p>
    <w:p>
      <w:pPr>
        <w:pStyle w:val="Heading2"/>
      </w:pPr>
      <w:r>
        <w:t>What the evidence supports</w:t>
      </w:r>
    </w:p>
    <w:p>
      <w:r>
        <w:t>Task-specific projection-head training can produce a strong classifier on this in-distribution six-class synthetic benchmark while Qwen3-8B remains frozen. This supports testing the plan's per-team specialization mechanism, not declaring a production-ready enterprise router.</w:t>
      </w:r>
    </w:p>
    <w:p>
      <w:pPr>
        <w:pStyle w:val="Heading2"/>
      </w:pPr>
      <w:r>
        <w:t>Content-overlap caveat</w:t>
      </w:r>
    </w:p>
    <w:p>
      <w:r>
        <w:t>Although IDs are disjoint, 229 test rows (8.5%) exactly match fit subject-plus-body content after normalization, and 1,379 (51.1%) exactly match fit bodies. Tuned accuracy is still 97.61% on the 2,468 rows without exact state overlap and 96.74% on the 1,318 rows without exact body overlap. Exact-match removal does not eliminate paraphrases, templates, or other near-duplicates.</w:t>
      </w:r>
    </w:p>
    <w:p>
      <w:pPr>
        <w:pStyle w:val="Heading2"/>
      </w:pPr>
      <w:r>
        <w:t>Architecture control</w:t>
      </w:r>
    </w:p>
    <w:p>
      <w:r>
        <w:t>Multinomial logistic regression on the same frozen Qwen state embeddings scores 94.29% development accuracy. This suggests supervision on the representation already solves much of the task. It is a development-only control, not a paired test comparison, and does not prove that CLM's projection architecture uniquely causes the gain. Do not compare this development number directly with the tuned test score as a fair architecture ranking.</w:t>
      </w:r>
    </w:p>
    <w:p>
      <w:pPr>
        <w:pStyle w:val="Heading2"/>
      </w:pPr>
      <w:r>
        <w:t>Recommended next gate</w:t>
      </w:r>
    </w:p>
    <w:p>
      <w:r>
        <w:t>Before production, assemble representative real team emails with privacy review and group-deduplicated, time-aware splits. Compare zero-shot CLM, tuned CLM, frozen-embedding linear classification, and a conventional text classifier under one frozen test protocol. Select per-team abstention thresholds using validation data, route uncertain inputs to a human or stronger model, test out-of-distribution and adversarial messages, and measure new-state p95 latency, throughput, drift, rollback, and isolation.</w:t>
      </w:r>
    </w:p>
    <w:p>
      <w:pPr>
        <w:pStyle w:val="Heading2"/>
      </w:pPr>
      <w:r>
        <w:t>Measured versus proposed</w:t>
      </w:r>
    </w:p>
    <w:p>
      <w:r>
        <w:t>This notebook measures zero-shot failure and supervised head adaptation for one taxonomy. Rich-description rewrites, raw-head ablation, one-vs-rest formulations, shared organization heads, shared-then-team heads, hard-negative and replay ablations, learning curves, hierarchy, taxonomy changes, and a tuned abstention policy are not established by these findings. Hardware figures in the plan remain feasibility estimates unless separately benchmarked.</w:t>
      </w:r>
    </w:p>
    <w:p>
      <w:r>
        <w:t>Decision: the benchmark clears a feasibility gate for head-only adaptation. A production gate remains closed until representative data, a fair baseline comparison, privacy, abstention and operational requirements are validated.</w:t>
      </w:r>
    </w:p>
    <w:p>
      <w:r>
        <w:br w:type="page"/>
      </w:r>
    </w:p>
    <w:p>
      <w:pPr>
        <w:pStyle w:val="Heading1"/>
      </w:pPr>
      <w:r>
        <w:t>Appendix | Metrics and reproducibility</w:t>
      </w:r>
    </w:p>
    <w:p>
      <w:pPr>
        <w:pStyle w:val="Heading2"/>
      </w:pPr>
      <w:r>
        <w:t>Standardized published-test comparison</w:t>
      </w:r>
    </w:p>
    <w:tbl>
      <w:tblPr>
        <w:tblStyle w:val="LightShading-Accent1"/>
        <w:tblW w:type="auto" w:w="0"/>
        <w:tblLook w:firstColumn="1" w:firstRow="1" w:lastColumn="0" w:lastRow="0" w:noHBand="0" w:noVBand="1" w:val="04A0"/>
      </w:tblPr>
      <w:tblGrid>
        <w:gridCol w:w="3202"/>
        <w:gridCol w:w="3202"/>
        <w:gridCol w:w="3202"/>
      </w:tblGrid>
      <w:tr>
        <w:tc>
          <w:tcPr>
            <w:tcW w:type="dxa" w:w="3202"/>
          </w:tcPr>
          <w:p>
            <w:r>
              <w:t>Metric</w:t>
            </w:r>
          </w:p>
        </w:tc>
        <w:tc>
          <w:tcPr>
            <w:tcW w:type="dxa" w:w="3202"/>
          </w:tcPr>
          <w:p>
            <w:r>
              <w:t>Zero-shot, T=1.0</w:t>
            </w:r>
          </w:p>
        </w:tc>
        <w:tc>
          <w:tcPr>
            <w:tcW w:type="dxa" w:w="3202"/>
          </w:tcPr>
          <w:p>
            <w:r>
              <w:t>Fine-tuned, T=1.0</w:t>
            </w:r>
          </w:p>
        </w:tc>
      </w:tr>
      <w:tr>
        <w:tc>
          <w:tcPr>
            <w:tcW w:type="dxa" w:w="3202"/>
          </w:tcPr>
          <w:p>
            <w:r>
              <w:t>Evaluated emails</w:t>
            </w:r>
          </w:p>
        </w:tc>
        <w:tc>
          <w:tcPr>
            <w:tcW w:type="dxa" w:w="3202"/>
          </w:tcPr>
          <w:p>
            <w:r>
              <w:t>2,697</w:t>
            </w:r>
          </w:p>
        </w:tc>
        <w:tc>
          <w:tcPr>
            <w:tcW w:type="dxa" w:w="3202"/>
          </w:tcPr>
          <w:p>
            <w:r>
              <w:t>2,697</w:t>
            </w:r>
          </w:p>
        </w:tc>
      </w:tr>
      <w:tr>
        <w:tc>
          <w:tcPr>
            <w:tcW w:type="dxa" w:w="3202"/>
          </w:tcPr>
          <w:p>
            <w:r>
              <w:t>Accuracy</w:t>
            </w:r>
          </w:p>
        </w:tc>
        <w:tc>
          <w:tcPr>
            <w:tcW w:type="dxa" w:w="3202"/>
          </w:tcPr>
          <w:p>
            <w:r>
              <w:t>26.8817%</w:t>
            </w:r>
          </w:p>
        </w:tc>
        <w:tc>
          <w:tcPr>
            <w:tcW w:type="dxa" w:w="3202"/>
          </w:tcPr>
          <w:p>
            <w:r>
              <w:t>97.5899%</w:t>
            </w:r>
          </w:p>
        </w:tc>
      </w:tr>
      <w:tr>
        <w:tc>
          <w:tcPr>
            <w:tcW w:type="dxa" w:w="3202"/>
          </w:tcPr>
          <w:p>
            <w:r>
              <w:t>Macro F1</w:t>
            </w:r>
          </w:p>
        </w:tc>
        <w:tc>
          <w:tcPr>
            <w:tcW w:type="dxa" w:w="3202"/>
          </w:tcPr>
          <w:p>
            <w:r>
              <w:t>0.139940</w:t>
            </w:r>
          </w:p>
        </w:tc>
        <w:tc>
          <w:tcPr>
            <w:tcW w:type="dxa" w:w="3202"/>
          </w:tcPr>
          <w:p>
            <w:r>
              <w:t>0.975930</w:t>
            </w:r>
          </w:p>
        </w:tc>
      </w:tr>
      <w:tr>
        <w:tc>
          <w:tcPr>
            <w:tcW w:type="dxa" w:w="3202"/>
          </w:tcPr>
          <w:p>
            <w:r>
              <w:t>Weighted F1</w:t>
            </w:r>
          </w:p>
        </w:tc>
        <w:tc>
          <w:tcPr>
            <w:tcW w:type="dxa" w:w="3202"/>
          </w:tcPr>
          <w:p>
            <w:r>
              <w:t>0.139784</w:t>
            </w:r>
          </w:p>
        </w:tc>
        <w:tc>
          <w:tcPr>
            <w:tcW w:type="dxa" w:w="3202"/>
          </w:tcPr>
          <w:p>
            <w:r>
              <w:t>0.975928</w:t>
            </w:r>
          </w:p>
        </w:tc>
      </w:tr>
      <w:tr>
        <w:tc>
          <w:tcPr>
            <w:tcW w:type="dxa" w:w="3202"/>
          </w:tcPr>
          <w:p>
            <w:r>
              <w:t>Top-2 accuracy</w:t>
            </w:r>
          </w:p>
        </w:tc>
        <w:tc>
          <w:tcPr>
            <w:tcW w:type="dxa" w:w="3202"/>
          </w:tcPr>
          <w:p>
            <w:r>
              <w:t>42.2321%</w:t>
            </w:r>
          </w:p>
        </w:tc>
        <w:tc>
          <w:tcPr>
            <w:tcW w:type="dxa" w:w="3202"/>
          </w:tcPr>
          <w:p>
            <w:r>
              <w:t>99.6663%</w:t>
            </w:r>
          </w:p>
        </w:tc>
      </w:tr>
      <w:tr>
        <w:tc>
          <w:tcPr>
            <w:tcW w:type="dxa" w:w="3202"/>
          </w:tcPr>
          <w:p>
            <w:r>
              <w:t>Multiclass log loss</w:t>
            </w:r>
          </w:p>
        </w:tc>
        <w:tc>
          <w:tcPr>
            <w:tcW w:type="dxa" w:w="3202"/>
          </w:tcPr>
          <w:p>
            <w:r>
              <w:t>3.287347</w:t>
            </w:r>
          </w:p>
        </w:tc>
        <w:tc>
          <w:tcPr>
            <w:tcW w:type="dxa" w:w="3202"/>
          </w:tcPr>
          <w:p>
            <w:r>
              <w:t>0.070694</w:t>
            </w:r>
          </w:p>
        </w:tc>
      </w:tr>
      <w:tr>
        <w:tc>
          <w:tcPr>
            <w:tcW w:type="dxa" w:w="3202"/>
          </w:tcPr>
          <w:p>
            <w:r>
              <w:t>10-bin ECE</w:t>
            </w:r>
          </w:p>
        </w:tc>
        <w:tc>
          <w:tcPr>
            <w:tcW w:type="dxa" w:w="3202"/>
          </w:tcPr>
          <w:p>
            <w:r>
              <w:t>0.340645</w:t>
            </w:r>
          </w:p>
        </w:tc>
        <w:tc>
          <w:tcPr>
            <w:tcW w:type="dxa" w:w="3202"/>
          </w:tcPr>
          <w:p>
            <w:r>
              <w:t>0.007024</w:t>
            </w:r>
          </w:p>
        </w:tc>
      </w:tr>
      <w:tr>
        <w:tc>
          <w:tcPr>
            <w:tcW w:type="dxa" w:w="3202"/>
          </w:tcPr>
          <w:p>
            <w:r>
              <w:t>Multiclass Brier score</w:t>
            </w:r>
          </w:p>
        </w:tc>
        <w:tc>
          <w:tcPr>
            <w:tcW w:type="dxa" w:w="3202"/>
          </w:tcPr>
          <w:p>
            <w:r>
              <w:t>1.002003</w:t>
            </w:r>
          </w:p>
        </w:tc>
        <w:tc>
          <w:tcPr>
            <w:tcW w:type="dxa" w:w="3202"/>
          </w:tcPr>
          <w:p>
            <w:r>
              <w:t>0.036418</w:t>
            </w:r>
          </w:p>
        </w:tc>
      </w:tr>
      <w:tr>
        <w:tc>
          <w:tcPr>
            <w:tcW w:type="dxa" w:w="3202"/>
          </w:tcPr>
          <w:p>
            <w:r>
              <w:t>Errors</w:t>
            </w:r>
          </w:p>
        </w:tc>
        <w:tc>
          <w:tcPr>
            <w:tcW w:type="dxa" w:w="3202"/>
          </w:tcPr>
          <w:p>
            <w:r>
              <w:t>1,972</w:t>
            </w:r>
          </w:p>
        </w:tc>
        <w:tc>
          <w:tcPr>
            <w:tcW w:type="dxa" w:w="3202"/>
          </w:tcPr>
          <w:p>
            <w:r>
              <w:t>65</w:t>
            </w:r>
          </w:p>
        </w:tc>
      </w:tr>
    </w:tbl>
    <w:p>
      <w:pPr>
        <w:pStyle w:val="Heading2"/>
      </w:pPr>
      <w:r>
        <w:t>Class-level tuned quality</w:t>
      </w:r>
    </w:p>
    <w:tbl>
      <w:tblPr>
        <w:tblStyle w:val="LightShading-Accent1"/>
        <w:tblW w:type="auto" w:w="0"/>
        <w:tblLook w:firstColumn="1" w:firstRow="1" w:lastColumn="0" w:lastRow="0" w:noHBand="0" w:noVBand="1" w:val="04A0"/>
      </w:tblPr>
      <w:tblGrid>
        <w:gridCol w:w="2401"/>
        <w:gridCol w:w="2401"/>
        <w:gridCol w:w="2401"/>
        <w:gridCol w:w="2401"/>
      </w:tblGrid>
      <w:tr>
        <w:tc>
          <w:tcPr>
            <w:tcW w:type="dxa" w:w="2401"/>
          </w:tcPr>
          <w:p>
            <w:r>
              <w:t>Class</w:t>
            </w:r>
          </w:p>
        </w:tc>
        <w:tc>
          <w:tcPr>
            <w:tcW w:type="dxa" w:w="2401"/>
          </w:tcPr>
          <w:p>
            <w:r>
              <w:t>Recall</w:t>
            </w:r>
          </w:p>
        </w:tc>
        <w:tc>
          <w:tcPr>
            <w:tcW w:type="dxa" w:w="2401"/>
          </w:tcPr>
          <w:p>
            <w:r>
              <w:t>F1</w:t>
            </w:r>
          </w:p>
        </w:tc>
        <w:tc>
          <w:tcPr>
            <w:tcW w:type="dxa" w:w="2401"/>
          </w:tcPr>
          <w:p>
            <w:r>
              <w:t>Test rows</w:t>
            </w:r>
          </w:p>
        </w:tc>
      </w:tr>
      <w:tr>
        <w:tc>
          <w:tcPr>
            <w:tcW w:type="dxa" w:w="2401"/>
          </w:tcPr>
          <w:p>
            <w:r>
              <w:t>forum</w:t>
            </w:r>
          </w:p>
        </w:tc>
        <w:tc>
          <w:tcPr>
            <w:tcW w:type="dxa" w:w="2401"/>
          </w:tcPr>
          <w:p>
            <w:r>
              <w:t>95.56%</w:t>
            </w:r>
          </w:p>
        </w:tc>
        <w:tc>
          <w:tcPr>
            <w:tcW w:type="dxa" w:w="2401"/>
          </w:tcPr>
          <w:p>
            <w:r>
              <w:t>0.970655</w:t>
            </w:r>
          </w:p>
        </w:tc>
        <w:tc>
          <w:tcPr>
            <w:tcW w:type="dxa" w:w="2401"/>
          </w:tcPr>
          <w:p>
            <w:r>
              <w:t>450</w:t>
            </w:r>
          </w:p>
        </w:tc>
      </w:tr>
      <w:tr>
        <w:tc>
          <w:tcPr>
            <w:tcW w:type="dxa" w:w="2401"/>
          </w:tcPr>
          <w:p>
            <w:r>
              <w:t>promotions</w:t>
            </w:r>
          </w:p>
        </w:tc>
        <w:tc>
          <w:tcPr>
            <w:tcW w:type="dxa" w:w="2401"/>
          </w:tcPr>
          <w:p>
            <w:r>
              <w:t>98.44%</w:t>
            </w:r>
          </w:p>
        </w:tc>
        <w:tc>
          <w:tcPr>
            <w:tcW w:type="dxa" w:w="2401"/>
          </w:tcPr>
          <w:p>
            <w:r>
              <w:t>0.991031</w:t>
            </w:r>
          </w:p>
        </w:tc>
        <w:tc>
          <w:tcPr>
            <w:tcW w:type="dxa" w:w="2401"/>
          </w:tcPr>
          <w:p>
            <w:r>
              <w:t>449</w:t>
            </w:r>
          </w:p>
        </w:tc>
      </w:tr>
      <w:tr>
        <w:tc>
          <w:tcPr>
            <w:tcW w:type="dxa" w:w="2401"/>
          </w:tcPr>
          <w:p>
            <w:r>
              <w:t>social_media</w:t>
            </w:r>
          </w:p>
        </w:tc>
        <w:tc>
          <w:tcPr>
            <w:tcW w:type="dxa" w:w="2401"/>
          </w:tcPr>
          <w:p>
            <w:r>
              <w:t>99.11%</w:t>
            </w:r>
          </w:p>
        </w:tc>
        <w:tc>
          <w:tcPr>
            <w:tcW w:type="dxa" w:w="2401"/>
          </w:tcPr>
          <w:p>
            <w:r>
              <w:t>0.969499</w:t>
            </w:r>
          </w:p>
        </w:tc>
        <w:tc>
          <w:tcPr>
            <w:tcW w:type="dxa" w:w="2401"/>
          </w:tcPr>
          <w:p>
            <w:r>
              <w:t>449</w:t>
            </w:r>
          </w:p>
        </w:tc>
      </w:tr>
      <w:tr>
        <w:tc>
          <w:tcPr>
            <w:tcW w:type="dxa" w:w="2401"/>
          </w:tcPr>
          <w:p>
            <w:r>
              <w:t>spam</w:t>
            </w:r>
          </w:p>
        </w:tc>
        <w:tc>
          <w:tcPr>
            <w:tcW w:type="dxa" w:w="2401"/>
          </w:tcPr>
          <w:p>
            <w:r>
              <w:t>98.44%</w:t>
            </w:r>
          </w:p>
        </w:tc>
        <w:tc>
          <w:tcPr>
            <w:tcW w:type="dxa" w:w="2401"/>
          </w:tcPr>
          <w:p>
            <w:r>
              <w:t>0.974642</w:t>
            </w:r>
          </w:p>
        </w:tc>
        <w:tc>
          <w:tcPr>
            <w:tcW w:type="dxa" w:w="2401"/>
          </w:tcPr>
          <w:p>
            <w:r>
              <w:t>449</w:t>
            </w:r>
          </w:p>
        </w:tc>
      </w:tr>
      <w:tr>
        <w:tc>
          <w:tcPr>
            <w:tcW w:type="dxa" w:w="2401"/>
          </w:tcPr>
          <w:p>
            <w:r>
              <w:t>updates</w:t>
            </w:r>
          </w:p>
        </w:tc>
        <w:tc>
          <w:tcPr>
            <w:tcW w:type="dxa" w:w="2401"/>
          </w:tcPr>
          <w:p>
            <w:r>
              <w:t>98.00%</w:t>
            </w:r>
          </w:p>
        </w:tc>
        <w:tc>
          <w:tcPr>
            <w:tcW w:type="dxa" w:w="2401"/>
          </w:tcPr>
          <w:p>
            <w:r>
              <w:t>0.974529</w:t>
            </w:r>
          </w:p>
        </w:tc>
        <w:tc>
          <w:tcPr>
            <w:tcW w:type="dxa" w:w="2401"/>
          </w:tcPr>
          <w:p>
            <w:r>
              <w:t>449</w:t>
            </w:r>
          </w:p>
        </w:tc>
      </w:tr>
      <w:tr>
        <w:tc>
          <w:tcPr>
            <w:tcW w:type="dxa" w:w="2401"/>
          </w:tcPr>
          <w:p>
            <w:r>
              <w:t>verify_code</w:t>
            </w:r>
          </w:p>
        </w:tc>
        <w:tc>
          <w:tcPr>
            <w:tcW w:type="dxa" w:w="2401"/>
          </w:tcPr>
          <w:p>
            <w:r>
              <w:t>96.01%</w:t>
            </w:r>
          </w:p>
        </w:tc>
        <w:tc>
          <w:tcPr>
            <w:tcW w:type="dxa" w:w="2401"/>
          </w:tcPr>
          <w:p>
            <w:r>
              <w:t>0.975225</w:t>
            </w:r>
          </w:p>
        </w:tc>
        <w:tc>
          <w:tcPr>
            <w:tcW w:type="dxa" w:w="2401"/>
          </w:tcPr>
          <w:p>
            <w:r>
              <w:t>451</w:t>
            </w:r>
          </w:p>
        </w:tc>
      </w:tr>
    </w:tbl>
    <w:p>
      <w:pPr>
        <w:pStyle w:val="Heading2"/>
      </w:pPr>
      <w:r>
        <w:t>Avoid misleading comparisons</w:t>
      </w:r>
    </w:p>
    <w:p>
      <w:r>
        <w:t>Do not mix the original T=0.1 confidence/log-loss outputs with the standardized T=1.0 before/after comparison. Do not compare the initial 46.6 ms median request time with the separate warm-cache medians as if they measure the same workload. The linear probe's 94.29% is a development result, not a published-test result. Seed stability uses one fixed outer split, so it is not a measure of data-split variance.</w:t>
      </w:r>
    </w:p>
    <w:p>
      <w:r>
        <w:br w:type="page"/>
      </w:r>
    </w:p>
    <w:p>
      <w:pPr>
        <w:pStyle w:val="Heading1"/>
      </w:pPr>
      <w:r>
        <w:t>Appendix | Runbook and source map</w:t>
      </w:r>
    </w:p>
    <w:p>
      <w:pPr>
        <w:pStyle w:val="Heading2"/>
      </w:pPr>
      <w:r>
        <w:t>Reproduction sequence</w:t>
      </w:r>
    </w:p>
    <w:p>
      <w:pPr>
        <w:pStyle w:val="ListNumber"/>
      </w:pPr>
      <w:r>
        <w:t>Start the real Qwen3-8B embedding server and baseline CLM API; verify embedding health and the absence of a mock server.</w:t>
      </w:r>
    </w:p>
    <w:p>
      <w:pPr>
        <w:pStyle w:val="ListNumber"/>
      </w:pPr>
      <w:r>
        <w:t>Load published train/test files; validate schema, labels and IDs. Recreate the fixed 80/20 train-derived fit/development split.</w:t>
      </w:r>
    </w:p>
    <w:p>
      <w:pPr>
        <w:pStyle w:val="ListNumber"/>
      </w:pPr>
      <w:r>
        <w:t>Build typed-decision Parquet artifacts; preserve the manifest, ID/file hashes and distinct prediction checkpoints.</w:t>
      </w:r>
    </w:p>
    <w:p>
      <w:pPr>
        <w:pStyle w:val="ListNumber"/>
      </w:pPr>
      <w:r>
        <w:t>Keep state formatting, question contract and temperature 1.0 fixed. Record the zero-shot baseline.</w:t>
      </w:r>
    </w:p>
    <w:p>
      <w:pPr>
        <w:pStyle w:val="ListNumber"/>
      </w:pPr>
      <w:r>
        <w:t>Warm-start the CLM projection heads; run the recorded supervised recipe. Select epochs on internal validation and retain the declared seed-42 final checkpoint.</w:t>
      </w:r>
    </w:p>
    <w:p>
      <w:pPr>
        <w:pStyle w:val="ListNumber"/>
      </w:pPr>
      <w:r>
        <w:t>Use seeds 123 and 2026 only for development stability. Serve the tuned checkpoint alongside, rather than overwriting, the baseline.</w:t>
      </w:r>
    </w:p>
    <w:p>
      <w:pPr>
        <w:pStyle w:val="ListNumber"/>
      </w:pPr>
      <w:r>
        <w:t>Evaluate the frozen tuned checkpoint on the paired published-test IDs; compute metrics, bootstrap gain, calibration, per-class quality and error themes.</w:t>
      </w:r>
    </w:p>
    <w:p>
      <w:pPr>
        <w:pStyle w:val="ListNumber"/>
      </w:pPr>
      <w:r>
        <w:t>Run content-overlap and development-only linear-probe controls. Preserve predictions, logs, histories, summaries, ledger and hashes.</w:t>
      </w:r>
    </w:p>
    <w:p>
      <w:pPr>
        <w:pStyle w:val="Heading2"/>
      </w:pPr>
      <w:r>
        <w:t>Source map</w:t>
      </w:r>
    </w:p>
    <w:p>
      <w:r>
        <w:t>Paths below are relative to CLMClient. Notebook cell numbers are 1-based file-order positions, not execution counts. All numerical claims in the slides come from saved notebook outputs and the associated written interpretation.</w:t>
      </w:r>
    </w:p>
    <w:tbl>
      <w:tblPr>
        <w:tblStyle w:val="LightShading-Accent1"/>
        <w:tblW w:type="auto" w:w="0"/>
        <w:tblLook w:firstColumn="1" w:firstRow="1" w:lastColumn="0" w:lastRow="0" w:noHBand="0" w:noVBand="1" w:val="04A0"/>
      </w:tblPr>
      <w:tblGrid>
        <w:gridCol w:w="4802"/>
        <w:gridCol w:w="4802"/>
      </w:tblGrid>
      <w:tr>
        <w:tc>
          <w:tcPr>
            <w:tcW w:type="dxa" w:w="4802"/>
          </w:tcPr>
          <w:p>
            <w:r>
              <w:t>Source</w:t>
            </w:r>
          </w:p>
        </w:tc>
        <w:tc>
          <w:tcPr>
            <w:tcW w:type="dxa" w:w="4802"/>
          </w:tcPr>
          <w:p>
            <w:r>
              <w:t>Relevant evidence</w:t>
            </w:r>
          </w:p>
        </w:tc>
      </w:tr>
      <w:tr>
        <w:tc>
          <w:tcPr>
            <w:tcW w:type="dxa" w:w="4802"/>
          </w:tcPr>
          <w:p>
            <w:r>
              <w:t>docs\experiment.md</w:t>
            </w:r>
          </w:p>
        </w:tc>
        <w:tc>
          <w:tcPr>
            <w:tcW w:type="dxa" w:w="4802"/>
          </w:tcPr>
          <w:p>
            <w:r>
              <w:t>Motivation; frozen encoder and per-team heads; zero-shot-first gates; planned E0-E13 experiments; hardware estimates and risks.</w:t>
            </w:r>
          </w:p>
        </w:tc>
      </w:tr>
      <w:tr>
        <w:tc>
          <w:tcPr>
            <w:tcW w:type="dxa" w:w="4802"/>
          </w:tcPr>
          <w:p>
            <w:r>
              <w:t>notebooks\clm_email_classification_evaluation.ipynb, cells 1-29</w:t>
            </w:r>
          </w:p>
        </w:tc>
        <w:tc>
          <w:tcPr>
            <w:tcW w:type="dxa" w:w="4802"/>
          </w:tcPr>
          <w:p>
            <w:r>
              <w:t>Dataset, six-way Choice construction, real-server checks, baseline metrics and diagnosis.</w:t>
            </w:r>
          </w:p>
        </w:tc>
      </w:tr>
      <w:tr>
        <w:tc>
          <w:tcPr>
            <w:tcW w:type="dxa" w:w="4802"/>
          </w:tcPr>
          <w:p>
            <w:r>
              <w:t>Same notebook, cells 38-45</w:t>
            </w:r>
          </w:p>
        </w:tc>
        <w:tc>
          <w:tcPr>
            <w:tcW w:type="dxa" w:w="4802"/>
          </w:tcPr>
          <w:p>
            <w:r>
              <w:t>Controlled supervised contract, provenance, training recipe and seed stability.</w:t>
            </w:r>
          </w:p>
        </w:tc>
      </w:tr>
      <w:tr>
        <w:tc>
          <w:tcPr>
            <w:tcW w:type="dxa" w:w="4802"/>
          </w:tcPr>
          <w:p>
            <w:r>
              <w:t>Same notebook, cells 46-51</w:t>
            </w:r>
          </w:p>
        </w:tc>
        <w:tc>
          <w:tcPr>
            <w:tcW w:type="dxa" w:w="4802"/>
          </w:tcPr>
          <w:p>
            <w:r>
              <w:t>Deployment, standardized comparison, warm-cache latency, paired statistics and residual errors.</w:t>
            </w:r>
          </w:p>
        </w:tc>
      </w:tr>
      <w:tr>
        <w:tc>
          <w:tcPr>
            <w:tcW w:type="dxa" w:w="4802"/>
          </w:tcPr>
          <w:p>
            <w:r>
              <w:t>Same notebook, cells 52-57</w:t>
            </w:r>
          </w:p>
        </w:tc>
        <w:tc>
          <w:tcPr>
            <w:tcW w:type="dxa" w:w="4802"/>
          </w:tcPr>
          <w:p>
            <w:r>
              <w:t>Duplicate-aware controls, linear probe, bounded conclusion, artifact ledger and runbook.</w:t>
            </w:r>
          </w:p>
        </w:tc>
      </w:tr>
    </w:tbl>
    <w:p>
      <w:pPr>
        <w:pStyle w:val="Heading2"/>
      </w:pPr>
      <w:r>
        <w:t>Glossary</w:t>
      </w:r>
    </w:p>
    <w:p>
      <w:r>
        <w:t>Projection head: learned mapping from frozen embeddings into CLM's scoring space. Macro F1: average class F1 with equal class weight. Top-2: the gold label is among the two highest-scoring choices. Log loss: probability assigned to gold outcomes, penalizing confident mistakes. ECE: binned difference between predictive probability and empirical accuracy; the reported ECE is distinct from CLM's confidence-margin field. Brier score: squared error of the multiclass probability vector. Abstention: declining automatic routing when a validation-selected confidence rule is not met.</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Slide reading companion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CLM  /  EMAIL ROUTING EXPERIMENT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02A4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CLM email experiment: slide reading companion</dc:title>
  <dc:subject>Motivation, methods, measured findings, limitations and next steps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