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880B" w14:textId="33215A61" w:rsidR="007643C6" w:rsidRPr="00CB7A12" w:rsidRDefault="00A6188B" w:rsidP="00CB7A12">
      <w:pPr>
        <w:spacing w:after="80" w:line="480" w:lineRule="auto"/>
        <w:jc w:val="center"/>
        <w:rPr>
          <w:rFonts w:ascii="Times New Roman" w:hAnsi="Times New Roman" w:cs="Times New Roman"/>
          <w:sz w:val="22"/>
          <w:szCs w:val="22"/>
        </w:rPr>
      </w:pPr>
      <w:r w:rsidRPr="00CB7A12">
        <w:rPr>
          <w:rFonts w:ascii="Times New Roman" w:hAnsi="Times New Roman" w:cs="Times New Roman"/>
          <w:b/>
          <w:bCs/>
          <w:sz w:val="22"/>
          <w:szCs w:val="22"/>
        </w:rPr>
        <w:t>Clinical Decision Making and Pattern Recognition in Health Care:</w:t>
      </w:r>
      <w:r w:rsidR="00CB7A12">
        <w:rPr>
          <w:rFonts w:ascii="Times New Roman" w:hAnsi="Times New Roman" w:cs="Times New Roman"/>
          <w:sz w:val="22"/>
          <w:szCs w:val="22"/>
        </w:rPr>
        <w:t xml:space="preserve"> </w:t>
      </w:r>
      <w:r w:rsidRPr="00CB7A12">
        <w:rPr>
          <w:rFonts w:ascii="Times New Roman" w:hAnsi="Times New Roman" w:cs="Times New Roman"/>
          <w:b/>
          <w:bCs/>
          <w:sz w:val="22"/>
          <w:szCs w:val="22"/>
        </w:rPr>
        <w:t>Agentic Generative AI for Treatment, Payment, and Operations</w:t>
      </w:r>
    </w:p>
    <w:p w14:paraId="585BEB5B" w14:textId="77777777" w:rsidR="007643C6" w:rsidRPr="00CB7A12" w:rsidRDefault="00A6188B" w:rsidP="00ED64BB">
      <w:pPr>
        <w:spacing w:after="60" w:line="360" w:lineRule="auto"/>
        <w:jc w:val="center"/>
        <w:rPr>
          <w:rFonts w:ascii="Times New Roman" w:hAnsi="Times New Roman" w:cs="Times New Roman"/>
          <w:sz w:val="22"/>
          <w:szCs w:val="22"/>
        </w:rPr>
      </w:pPr>
      <w:r w:rsidRPr="00CB7A12">
        <w:rPr>
          <w:rFonts w:ascii="Times New Roman" w:hAnsi="Times New Roman" w:cs="Times New Roman"/>
          <w:sz w:val="22"/>
          <w:szCs w:val="22"/>
        </w:rPr>
        <w:t>Rashmita Kudamala</w:t>
      </w:r>
    </w:p>
    <w:p w14:paraId="5960E856" w14:textId="77777777" w:rsidR="007643C6" w:rsidRPr="00CB7A12" w:rsidRDefault="00A6188B" w:rsidP="00ED64BB">
      <w:pPr>
        <w:spacing w:after="240" w:line="360" w:lineRule="auto"/>
        <w:jc w:val="center"/>
        <w:rPr>
          <w:rFonts w:ascii="Times New Roman" w:hAnsi="Times New Roman" w:cs="Times New Roman"/>
          <w:sz w:val="22"/>
          <w:szCs w:val="22"/>
        </w:rPr>
      </w:pPr>
      <w:r w:rsidRPr="00CB7A12">
        <w:rPr>
          <w:rFonts w:ascii="Times New Roman" w:hAnsi="Times New Roman" w:cs="Times New Roman"/>
          <w:sz w:val="22"/>
          <w:szCs w:val="22"/>
        </w:rPr>
        <w:t>Indiana University Indianapolis</w:t>
      </w:r>
    </w:p>
    <w:p w14:paraId="75BE02C1" w14:textId="77777777" w:rsidR="007643C6" w:rsidRPr="00CB7A12" w:rsidRDefault="00A6188B" w:rsidP="00ED64BB">
      <w:pPr>
        <w:spacing w:before="200" w:after="100" w:line="360" w:lineRule="auto"/>
        <w:rPr>
          <w:rFonts w:ascii="Times New Roman" w:hAnsi="Times New Roman" w:cs="Times New Roman"/>
          <w:sz w:val="22"/>
          <w:szCs w:val="22"/>
        </w:rPr>
      </w:pPr>
      <w:r w:rsidRPr="00CB7A12">
        <w:rPr>
          <w:rFonts w:ascii="Times New Roman" w:hAnsi="Times New Roman" w:cs="Times New Roman"/>
          <w:b/>
          <w:bCs/>
          <w:sz w:val="22"/>
          <w:szCs w:val="22"/>
        </w:rPr>
        <w:t>Concept Definition</w:t>
      </w:r>
    </w:p>
    <w:p w14:paraId="157CAC50" w14:textId="07D6816B" w:rsidR="007643C6" w:rsidRPr="00CB7A12" w:rsidRDefault="00A55A52" w:rsidP="00ED64BB">
      <w:pPr>
        <w:spacing w:after="160" w:line="360" w:lineRule="auto"/>
        <w:rPr>
          <w:rFonts w:ascii="Times New Roman" w:hAnsi="Times New Roman" w:cs="Times New Roman"/>
          <w:sz w:val="22"/>
          <w:szCs w:val="22"/>
        </w:rPr>
      </w:pPr>
      <w:r w:rsidRPr="00A55A52">
        <w:rPr>
          <w:rFonts w:ascii="Times New Roman" w:hAnsi="Times New Roman" w:cs="Times New Roman"/>
          <w:sz w:val="22"/>
          <w:szCs w:val="22"/>
        </w:rPr>
        <w:t>Clinical decision making encompasses the multi-step processes through which clinicians and health systems synthesize heterogeneous data to guide diagnostic, therapeutic, and operational choices. The emergence of agentic generative AI</w:t>
      </w:r>
      <w:r>
        <w:rPr>
          <w:rFonts w:ascii="Times New Roman" w:hAnsi="Times New Roman" w:cs="Times New Roman"/>
          <w:sz w:val="22"/>
          <w:szCs w:val="22"/>
        </w:rPr>
        <w:t xml:space="preserve"> </w:t>
      </w:r>
      <w:r w:rsidRPr="00A55A52">
        <w:rPr>
          <w:rFonts w:ascii="Times New Roman" w:hAnsi="Times New Roman" w:cs="Times New Roman"/>
          <w:sz w:val="22"/>
          <w:szCs w:val="22"/>
        </w:rPr>
        <w:t>systems that autonomously decompose complex objectives into sequential reasoning steps, retrieve multimodal information, and produce structured outputs through chain-of-thought (</w:t>
      </w:r>
      <w:proofErr w:type="spellStart"/>
      <w:r w:rsidRPr="00A55A52">
        <w:rPr>
          <w:rFonts w:ascii="Times New Roman" w:hAnsi="Times New Roman" w:cs="Times New Roman"/>
          <w:sz w:val="22"/>
          <w:szCs w:val="22"/>
        </w:rPr>
        <w:t>CoT</w:t>
      </w:r>
      <w:proofErr w:type="spellEnd"/>
      <w:r w:rsidRPr="00A55A52">
        <w:rPr>
          <w:rFonts w:ascii="Times New Roman" w:hAnsi="Times New Roman" w:cs="Times New Roman"/>
          <w:sz w:val="22"/>
          <w:szCs w:val="22"/>
        </w:rPr>
        <w:t>) pipelines</w:t>
      </w:r>
      <w:r>
        <w:rPr>
          <w:rFonts w:ascii="Times New Roman" w:hAnsi="Times New Roman" w:cs="Times New Roman"/>
          <w:sz w:val="22"/>
          <w:szCs w:val="22"/>
        </w:rPr>
        <w:t xml:space="preserve"> </w:t>
      </w:r>
      <w:r w:rsidRPr="00A55A52">
        <w:rPr>
          <w:rFonts w:ascii="Times New Roman" w:hAnsi="Times New Roman" w:cs="Times New Roman"/>
          <w:sz w:val="22"/>
          <w:szCs w:val="22"/>
        </w:rPr>
        <w:t xml:space="preserve">represents a fundamental evolution in this paradigm (Wei et al., 2022). Unlike conventional predictive models, agentic frameworks operate iteratively: ingesting clinical notes, structured EHR data, billing records, and time-series physiological signals simultaneously, applying intermediate reasoning steps, and returning interpretable decisions with traceable logic. Pattern recognition in this context extends beyond classification to </w:t>
      </w:r>
      <w:r w:rsidRPr="00A55A52">
        <w:rPr>
          <w:rFonts w:ascii="Times New Roman" w:hAnsi="Times New Roman" w:cs="Times New Roman"/>
          <w:sz w:val="22"/>
          <w:szCs w:val="22"/>
        </w:rPr>
        <w:t>identify</w:t>
      </w:r>
      <w:r w:rsidRPr="00A55A52">
        <w:rPr>
          <w:rFonts w:ascii="Times New Roman" w:hAnsi="Times New Roman" w:cs="Times New Roman"/>
          <w:sz w:val="22"/>
          <w:szCs w:val="22"/>
        </w:rPr>
        <w:t xml:space="preserve"> latent clinical trajectories, anomalous operational patterns, and compliance discrepancies across TPO workflows. Human-guided variants</w:t>
      </w:r>
      <w:r w:rsidR="00910B05" w:rsidRPr="00910B05">
        <w:rPr>
          <w:rFonts w:ascii="Times New Roman" w:hAnsi="Times New Roman" w:cs="Times New Roman"/>
          <w:sz w:val="22"/>
          <w:szCs w:val="22"/>
        </w:rPr>
        <w:t>—</w:t>
      </w:r>
      <w:r w:rsidRPr="00A55A52">
        <w:rPr>
          <w:rFonts w:ascii="Times New Roman" w:hAnsi="Times New Roman" w:cs="Times New Roman"/>
          <w:sz w:val="22"/>
          <w:szCs w:val="22"/>
        </w:rPr>
        <w:t>where agents operate within defined guardrails and route outputs for clinician review at critical decision nodes</w:t>
      </w:r>
      <w:r w:rsidR="005A6C53" w:rsidRPr="005A6C53">
        <w:rPr>
          <w:rFonts w:ascii="Times New Roman" w:hAnsi="Times New Roman" w:cs="Times New Roman"/>
          <w:sz w:val="22"/>
          <w:szCs w:val="22"/>
        </w:rPr>
        <w:t>—</w:t>
      </w:r>
      <w:r w:rsidRPr="00A55A52">
        <w:rPr>
          <w:rFonts w:ascii="Times New Roman" w:hAnsi="Times New Roman" w:cs="Times New Roman"/>
          <w:sz w:val="22"/>
          <w:szCs w:val="22"/>
        </w:rPr>
        <w:t>represent the preferred framework for high-stakes healthcare applications (Pulavarthy et al., 2026).</w:t>
      </w:r>
    </w:p>
    <w:p w14:paraId="6AEB38D3" w14:textId="77777777" w:rsidR="007643C6" w:rsidRPr="00CB7A12" w:rsidRDefault="00A6188B" w:rsidP="00ED64BB">
      <w:pPr>
        <w:spacing w:before="200" w:after="100" w:line="360" w:lineRule="auto"/>
        <w:rPr>
          <w:rFonts w:ascii="Times New Roman" w:hAnsi="Times New Roman" w:cs="Times New Roman"/>
          <w:sz w:val="22"/>
          <w:szCs w:val="22"/>
        </w:rPr>
      </w:pPr>
      <w:r w:rsidRPr="00CB7A12">
        <w:rPr>
          <w:rFonts w:ascii="Times New Roman" w:hAnsi="Times New Roman" w:cs="Times New Roman"/>
          <w:b/>
          <w:bCs/>
          <w:sz w:val="22"/>
          <w:szCs w:val="22"/>
        </w:rPr>
        <w:t>Trend Analysis</w:t>
      </w:r>
    </w:p>
    <w:p w14:paraId="5CEFE698" w14:textId="45EACA6A" w:rsidR="007643C6" w:rsidRPr="00CB7A12" w:rsidRDefault="00A55A52" w:rsidP="00ED64BB">
      <w:pPr>
        <w:spacing w:after="160" w:line="360" w:lineRule="auto"/>
        <w:rPr>
          <w:rFonts w:ascii="Times New Roman" w:hAnsi="Times New Roman" w:cs="Times New Roman"/>
          <w:sz w:val="22"/>
          <w:szCs w:val="22"/>
        </w:rPr>
      </w:pPr>
      <w:r w:rsidRPr="00A55A52">
        <w:rPr>
          <w:rFonts w:ascii="Times New Roman" w:hAnsi="Times New Roman" w:cs="Times New Roman"/>
          <w:sz w:val="22"/>
          <w:szCs w:val="22"/>
        </w:rPr>
        <w:t>Three converging trends define the current landscape. First, multimodal clinical agent frameworks</w:t>
      </w:r>
      <w:r w:rsidR="00ED64BB">
        <w:rPr>
          <w:rFonts w:ascii="Times New Roman" w:hAnsi="Times New Roman" w:cs="Times New Roman"/>
          <w:sz w:val="22"/>
          <w:szCs w:val="22"/>
        </w:rPr>
        <w:t xml:space="preserve"> </w:t>
      </w:r>
      <w:r w:rsidRPr="00A55A52">
        <w:rPr>
          <w:rFonts w:ascii="Times New Roman" w:hAnsi="Times New Roman" w:cs="Times New Roman"/>
          <w:sz w:val="22"/>
          <w:szCs w:val="22"/>
        </w:rPr>
        <w:t>integrating structured EHR data, unstructured clinical notes, scanned billing documents, and vital-sign time series</w:t>
      </w:r>
      <w:r w:rsidR="00ED64BB">
        <w:rPr>
          <w:rFonts w:ascii="Times New Roman" w:hAnsi="Times New Roman" w:cs="Times New Roman"/>
          <w:sz w:val="22"/>
          <w:szCs w:val="22"/>
        </w:rPr>
        <w:t xml:space="preserve"> </w:t>
      </w:r>
      <w:r w:rsidRPr="00A55A52">
        <w:rPr>
          <w:rFonts w:ascii="Times New Roman" w:hAnsi="Times New Roman" w:cs="Times New Roman"/>
          <w:sz w:val="22"/>
          <w:szCs w:val="22"/>
        </w:rPr>
        <w:t xml:space="preserve">demonstrate substantially superior performance across TPO tasks, including readmission prediction, discharge readiness assessment, and emergency department cost forecasting, compared to single-source approaches (Pulavarthy et al., 2026). Second, </w:t>
      </w:r>
      <w:proofErr w:type="spellStart"/>
      <w:r w:rsidRPr="00A55A52">
        <w:rPr>
          <w:rFonts w:ascii="Times New Roman" w:hAnsi="Times New Roman" w:cs="Times New Roman"/>
          <w:sz w:val="22"/>
          <w:szCs w:val="22"/>
        </w:rPr>
        <w:t>CoT</w:t>
      </w:r>
      <w:proofErr w:type="spellEnd"/>
      <w:r w:rsidRPr="00A55A52">
        <w:rPr>
          <w:rFonts w:ascii="Times New Roman" w:hAnsi="Times New Roman" w:cs="Times New Roman"/>
          <w:sz w:val="22"/>
          <w:szCs w:val="22"/>
        </w:rPr>
        <w:t xml:space="preserve"> prompting has emerged as the dominant reasoning strategy for clinical inference, enabling LLMs to articulate intermediate steps and improving both output accuracy and the auditability required for regulatory review (Wei et al., 2022). Third, LLMs with clinical domain adaptation are gaining empirical validation: models fine-tuned on medical corpora demonstrate clinical knowledge encoding approaching specialist-level performance across diverse question types (Singhal et al., 2023). Together, these trends signal an accelerating transition from static predictive tools to dynamic, reasoning-capable agents embedded within operational healthcare workflows.</w:t>
      </w:r>
    </w:p>
    <w:p w14:paraId="4AC17E00" w14:textId="77777777" w:rsidR="00ED64BB" w:rsidRDefault="00ED64BB" w:rsidP="00ED64BB">
      <w:pPr>
        <w:spacing w:before="200" w:after="100" w:line="360" w:lineRule="auto"/>
        <w:rPr>
          <w:rFonts w:ascii="Times New Roman" w:hAnsi="Times New Roman" w:cs="Times New Roman"/>
          <w:b/>
          <w:bCs/>
          <w:sz w:val="22"/>
          <w:szCs w:val="22"/>
        </w:rPr>
      </w:pPr>
    </w:p>
    <w:p w14:paraId="7A6E3D71" w14:textId="4FB4161F" w:rsidR="007643C6" w:rsidRPr="00CB7A12" w:rsidRDefault="00A6188B" w:rsidP="00ED64BB">
      <w:pPr>
        <w:spacing w:before="200" w:after="100" w:line="360" w:lineRule="auto"/>
        <w:rPr>
          <w:rFonts w:ascii="Times New Roman" w:hAnsi="Times New Roman" w:cs="Times New Roman"/>
          <w:sz w:val="22"/>
          <w:szCs w:val="22"/>
        </w:rPr>
      </w:pPr>
      <w:r w:rsidRPr="00CB7A12">
        <w:rPr>
          <w:rFonts w:ascii="Times New Roman" w:hAnsi="Times New Roman" w:cs="Times New Roman"/>
          <w:b/>
          <w:bCs/>
          <w:sz w:val="22"/>
          <w:szCs w:val="22"/>
        </w:rPr>
        <w:lastRenderedPageBreak/>
        <w:t>Opportunities and Threats</w:t>
      </w:r>
    </w:p>
    <w:p w14:paraId="72380B4A" w14:textId="76EFD65C" w:rsidR="007643C6" w:rsidRPr="00CB7A12" w:rsidRDefault="00A55A52" w:rsidP="00ED64BB">
      <w:pPr>
        <w:spacing w:after="160" w:line="360" w:lineRule="auto"/>
        <w:rPr>
          <w:rFonts w:ascii="Times New Roman" w:hAnsi="Times New Roman" w:cs="Times New Roman"/>
          <w:sz w:val="22"/>
          <w:szCs w:val="22"/>
        </w:rPr>
      </w:pPr>
      <w:r w:rsidRPr="00A55A52">
        <w:rPr>
          <w:rFonts w:ascii="Times New Roman" w:hAnsi="Times New Roman" w:cs="Times New Roman"/>
          <w:sz w:val="22"/>
          <w:szCs w:val="22"/>
        </w:rPr>
        <w:t>The TPO domain presents compelling opportunities for agentic AI. Payment accuracy operations—prior authorization review, claims adjudication, and payer-provider contract compliance monitoring—generate vast volumes of unstructured documentation currently processed through labor-intensive manual workflows. Agentic systems producing chain-reasoned compliance assessments could materially reduce administrative costs while improving accuracy and audit traceability. Proactive clinical risk stratification using temporal pattern recognition further enables earlier, lower-cost interventions benefiting both payers and providers (</w:t>
      </w:r>
      <w:proofErr w:type="spellStart"/>
      <w:r w:rsidRPr="00A55A52">
        <w:rPr>
          <w:rFonts w:ascii="Times New Roman" w:hAnsi="Times New Roman" w:cs="Times New Roman"/>
          <w:sz w:val="22"/>
          <w:szCs w:val="22"/>
        </w:rPr>
        <w:t>Rajpurkar</w:t>
      </w:r>
      <w:proofErr w:type="spellEnd"/>
      <w:r w:rsidRPr="00A55A52">
        <w:rPr>
          <w:rFonts w:ascii="Times New Roman" w:hAnsi="Times New Roman" w:cs="Times New Roman"/>
          <w:sz w:val="22"/>
          <w:szCs w:val="22"/>
        </w:rPr>
        <w:t xml:space="preserve"> et al., 2022). However, significant threats accompany this potential: LLM hallucination poses direct patient safety risks; algorithmic bias may propagate inequitable care pathways; HIPAA requirements constrain routing protected health information through third-party APIs; and the absence of established regulatory frameworks for autonomous clinical AI creates deployment uncertainty across payer and provider systems.</w:t>
      </w:r>
    </w:p>
    <w:p w14:paraId="6B15FDCE" w14:textId="77777777" w:rsidR="007643C6" w:rsidRPr="00CB7A12" w:rsidRDefault="00A6188B" w:rsidP="00ED64BB">
      <w:pPr>
        <w:spacing w:before="200" w:after="100" w:line="360" w:lineRule="auto"/>
        <w:rPr>
          <w:rFonts w:ascii="Times New Roman" w:hAnsi="Times New Roman" w:cs="Times New Roman"/>
          <w:sz w:val="22"/>
          <w:szCs w:val="22"/>
        </w:rPr>
      </w:pPr>
      <w:r w:rsidRPr="00CB7A12">
        <w:rPr>
          <w:rFonts w:ascii="Times New Roman" w:hAnsi="Times New Roman" w:cs="Times New Roman"/>
          <w:b/>
          <w:bCs/>
          <w:sz w:val="22"/>
          <w:szCs w:val="22"/>
        </w:rPr>
        <w:t>Strategic Investment for Cotiviti</w:t>
      </w:r>
    </w:p>
    <w:p w14:paraId="0FC8FD85" w14:textId="54771230" w:rsidR="007643C6" w:rsidRPr="00CB7A12" w:rsidRDefault="00ED64BB" w:rsidP="00ED64BB">
      <w:pPr>
        <w:spacing w:line="360" w:lineRule="auto"/>
        <w:rPr>
          <w:rFonts w:ascii="Times New Roman" w:hAnsi="Times New Roman" w:cs="Times New Roman"/>
          <w:sz w:val="22"/>
          <w:szCs w:val="22"/>
        </w:rPr>
      </w:pPr>
      <w:r w:rsidRPr="00ED64BB">
        <w:rPr>
          <w:rFonts w:ascii="Times New Roman" w:hAnsi="Times New Roman" w:cs="Times New Roman"/>
          <w:sz w:val="22"/>
          <w:szCs w:val="22"/>
        </w:rPr>
        <w:t>Cotiviti is uniquely positioned to lead agentic AI adoption within the payer analytics ecosystem. This report proposes development of a Human-Guided Agentic Review System (HGARS) targeting payment accuracy and prior authorization operations. The system would deploy LLM-based agents to ingest clinical documentation</w:t>
      </w:r>
      <w:r w:rsidR="005A6C53" w:rsidRPr="005A6C53">
        <w:rPr>
          <w:rFonts w:ascii="Times New Roman" w:hAnsi="Times New Roman" w:cs="Times New Roman"/>
          <w:sz w:val="22"/>
          <w:szCs w:val="22"/>
        </w:rPr>
        <w:t>—</w:t>
      </w:r>
      <w:r w:rsidRPr="00ED64BB">
        <w:rPr>
          <w:rFonts w:ascii="Times New Roman" w:hAnsi="Times New Roman" w:cs="Times New Roman"/>
          <w:sz w:val="22"/>
          <w:szCs w:val="22"/>
        </w:rPr>
        <w:t>physician notes, billing line items, ICD-10 coding sequences, and payer-provider contract terms</w:t>
      </w:r>
      <w:r w:rsidR="005A6C53" w:rsidRPr="005A6C53">
        <w:rPr>
          <w:rFonts w:ascii="Times New Roman" w:hAnsi="Times New Roman" w:cs="Times New Roman"/>
          <w:sz w:val="22"/>
          <w:szCs w:val="22"/>
        </w:rPr>
        <w:t>—</w:t>
      </w:r>
      <w:r w:rsidRPr="00ED64BB">
        <w:rPr>
          <w:rFonts w:ascii="Times New Roman" w:hAnsi="Times New Roman" w:cs="Times New Roman"/>
          <w:sz w:val="22"/>
          <w:szCs w:val="22"/>
        </w:rPr>
        <w:t xml:space="preserve">and produce chain-reasoned compliance assessments flagging discrepancies, anomalous coding patterns, and authorization decision recommendations. All high-stakes outputs would route through a structured human validation checkpoint, preserving auditor authority while substantially reducing manual review volume. Deployment should prioritize HIPAA-compliant, BAA-covered infrastructure with interpretable </w:t>
      </w:r>
      <w:proofErr w:type="spellStart"/>
      <w:r w:rsidRPr="00ED64BB">
        <w:rPr>
          <w:rFonts w:ascii="Times New Roman" w:hAnsi="Times New Roman" w:cs="Times New Roman"/>
          <w:sz w:val="22"/>
          <w:szCs w:val="22"/>
        </w:rPr>
        <w:t>CoT</w:t>
      </w:r>
      <w:proofErr w:type="spellEnd"/>
      <w:r w:rsidRPr="00ED64BB">
        <w:rPr>
          <w:rFonts w:ascii="Times New Roman" w:hAnsi="Times New Roman" w:cs="Times New Roman"/>
          <w:sz w:val="22"/>
          <w:szCs w:val="22"/>
        </w:rPr>
        <w:t xml:space="preserve"> outputs supporting regulatory documentation. A phased pilot targeting prior authorization review within a defined clinical service line would validate performance before enterprise-scale rollout, directly advancing Cotiviti's core value proposition of payment accuracy and operational efficiency.</w:t>
      </w:r>
      <w:r w:rsidR="00A6188B" w:rsidRPr="00CB7A12">
        <w:rPr>
          <w:rFonts w:ascii="Times New Roman" w:hAnsi="Times New Roman" w:cs="Times New Roman"/>
          <w:sz w:val="22"/>
          <w:szCs w:val="22"/>
        </w:rPr>
        <w:br w:type="page"/>
      </w:r>
    </w:p>
    <w:p w14:paraId="2CB2A219" w14:textId="77777777" w:rsidR="007643C6" w:rsidRPr="00CB7A12" w:rsidRDefault="00A6188B" w:rsidP="00CB7A12">
      <w:pPr>
        <w:spacing w:before="200" w:after="100" w:line="480" w:lineRule="auto"/>
        <w:jc w:val="center"/>
        <w:rPr>
          <w:rFonts w:ascii="Times New Roman" w:hAnsi="Times New Roman" w:cs="Times New Roman"/>
          <w:sz w:val="22"/>
          <w:szCs w:val="22"/>
        </w:rPr>
      </w:pPr>
      <w:r w:rsidRPr="00CB7A12">
        <w:rPr>
          <w:rFonts w:ascii="Times New Roman" w:hAnsi="Times New Roman" w:cs="Times New Roman"/>
          <w:b/>
          <w:bCs/>
          <w:sz w:val="22"/>
          <w:szCs w:val="22"/>
        </w:rPr>
        <w:lastRenderedPageBreak/>
        <w:t>References</w:t>
      </w:r>
    </w:p>
    <w:p w14:paraId="5C015732" w14:textId="42F50AC6" w:rsidR="007643C6" w:rsidRPr="00CB7A12" w:rsidRDefault="00193F91" w:rsidP="00193F91">
      <w:pPr>
        <w:spacing w:after="140" w:line="480" w:lineRule="auto"/>
        <w:ind w:left="720" w:hanging="720"/>
        <w:rPr>
          <w:rFonts w:ascii="Times New Roman" w:hAnsi="Times New Roman" w:cs="Times New Roman"/>
          <w:sz w:val="22"/>
          <w:szCs w:val="22"/>
        </w:rPr>
      </w:pPr>
      <w:r w:rsidRPr="00193F91">
        <w:rPr>
          <w:rFonts w:ascii="Times New Roman" w:hAnsi="Times New Roman" w:cs="Times New Roman"/>
          <w:sz w:val="22"/>
          <w:szCs w:val="22"/>
        </w:rPr>
        <w:t xml:space="preserve">Pulavarthy, L. P., Muthyala, R., Kuruvikkattil, A. V., Yin, Z., Kudamala, R., &amp; Purkayastha, S. (2026). </w:t>
      </w:r>
      <w:r w:rsidRPr="00193F91">
        <w:rPr>
          <w:rFonts w:ascii="Times New Roman" w:hAnsi="Times New Roman" w:cs="Times New Roman"/>
          <w:i/>
          <w:iCs/>
          <w:sz w:val="22"/>
          <w:szCs w:val="22"/>
        </w:rPr>
        <w:t xml:space="preserve">Human-Guided agentic AI for multimodal clinical prediction: Lessons from the </w:t>
      </w:r>
      <w:r w:rsidR="005F70FB" w:rsidRPr="00193F91">
        <w:rPr>
          <w:rFonts w:ascii="Times New Roman" w:hAnsi="Times New Roman" w:cs="Times New Roman"/>
          <w:i/>
          <w:iCs/>
          <w:sz w:val="22"/>
          <w:szCs w:val="22"/>
        </w:rPr>
        <w:t>AgentDS</w:t>
      </w:r>
      <w:r w:rsidRPr="00193F91">
        <w:rPr>
          <w:rFonts w:ascii="Times New Roman" w:hAnsi="Times New Roman" w:cs="Times New Roman"/>
          <w:i/>
          <w:iCs/>
          <w:sz w:val="22"/>
          <w:szCs w:val="22"/>
        </w:rPr>
        <w:t xml:space="preserve"> healthcare benchmark</w:t>
      </w:r>
      <w:r w:rsidRPr="00193F91">
        <w:rPr>
          <w:rFonts w:ascii="Times New Roman" w:hAnsi="Times New Roman" w:cs="Times New Roman"/>
          <w:sz w:val="22"/>
          <w:szCs w:val="22"/>
        </w:rPr>
        <w:t xml:space="preserve">. </w:t>
      </w:r>
      <w:r w:rsidR="005F70FB" w:rsidRPr="005F70FB">
        <w:rPr>
          <w:rFonts w:ascii="Times New Roman" w:hAnsi="Times New Roman" w:cs="Times New Roman"/>
          <w:sz w:val="22"/>
          <w:szCs w:val="22"/>
        </w:rPr>
        <w:t>arXiv.org</w:t>
      </w:r>
      <w:r w:rsidR="005F70FB">
        <w:rPr>
          <w:rFonts w:ascii="Times New Roman" w:hAnsi="Times New Roman" w:cs="Times New Roman"/>
          <w:sz w:val="22"/>
          <w:szCs w:val="22"/>
        </w:rPr>
        <w:t xml:space="preserve">. </w:t>
      </w:r>
      <w:hyperlink r:id="rId7" w:history="1">
        <w:r w:rsidR="005F70FB" w:rsidRPr="0015218F">
          <w:rPr>
            <w:rStyle w:val="Hyperlink"/>
            <w:rFonts w:ascii="Times New Roman" w:hAnsi="Times New Roman" w:cs="Times New Roman"/>
            <w:sz w:val="22"/>
            <w:szCs w:val="22"/>
          </w:rPr>
          <w:t>https://arxiv.org/abs/2602.19502</w:t>
        </w:r>
      </w:hyperlink>
      <w:r>
        <w:rPr>
          <w:rFonts w:ascii="Times New Roman" w:hAnsi="Times New Roman" w:cs="Times New Roman"/>
          <w:sz w:val="22"/>
          <w:szCs w:val="22"/>
        </w:rPr>
        <w:t xml:space="preserve"> </w:t>
      </w:r>
    </w:p>
    <w:p w14:paraId="3A7B0942" w14:textId="74252F3A" w:rsidR="007643C6" w:rsidRPr="00CB7A12" w:rsidRDefault="00A6188B" w:rsidP="00CB7A12">
      <w:pPr>
        <w:spacing w:after="140" w:line="480" w:lineRule="auto"/>
        <w:ind w:left="720" w:hanging="720"/>
        <w:rPr>
          <w:rFonts w:ascii="Times New Roman" w:hAnsi="Times New Roman" w:cs="Times New Roman"/>
          <w:sz w:val="22"/>
          <w:szCs w:val="22"/>
        </w:rPr>
      </w:pPr>
      <w:proofErr w:type="spellStart"/>
      <w:r w:rsidRPr="00CB7A12">
        <w:rPr>
          <w:rFonts w:ascii="Times New Roman" w:hAnsi="Times New Roman" w:cs="Times New Roman"/>
          <w:sz w:val="22"/>
          <w:szCs w:val="22"/>
        </w:rPr>
        <w:t>Rajpurkar</w:t>
      </w:r>
      <w:proofErr w:type="spellEnd"/>
      <w:r w:rsidRPr="00CB7A12">
        <w:rPr>
          <w:rFonts w:ascii="Times New Roman" w:hAnsi="Times New Roman" w:cs="Times New Roman"/>
          <w:sz w:val="22"/>
          <w:szCs w:val="22"/>
        </w:rPr>
        <w:t xml:space="preserve">, P., Chen, E., Banerjee, O., &amp; Topol, E. J. (2022). AI in health and medicine. </w:t>
      </w:r>
      <w:r w:rsidRPr="00D033D1">
        <w:rPr>
          <w:rFonts w:ascii="Times New Roman" w:hAnsi="Times New Roman" w:cs="Times New Roman"/>
          <w:i/>
          <w:iCs/>
          <w:sz w:val="22"/>
          <w:szCs w:val="22"/>
        </w:rPr>
        <w:t>Nature Medicine, 28</w:t>
      </w:r>
      <w:r w:rsidRPr="00CB7A12">
        <w:rPr>
          <w:rFonts w:ascii="Times New Roman" w:hAnsi="Times New Roman" w:cs="Times New Roman"/>
          <w:sz w:val="22"/>
          <w:szCs w:val="22"/>
        </w:rPr>
        <w:t xml:space="preserve">(1), 31–38. </w:t>
      </w:r>
      <w:hyperlink r:id="rId8" w:history="1">
        <w:r w:rsidR="00CB7A12" w:rsidRPr="00D73872">
          <w:rPr>
            <w:rStyle w:val="Hyperlink"/>
            <w:rFonts w:ascii="Times New Roman" w:hAnsi="Times New Roman" w:cs="Times New Roman"/>
            <w:sz w:val="22"/>
            <w:szCs w:val="22"/>
          </w:rPr>
          <w:t>https://doi.org/10.1038/</w:t>
        </w:r>
        <w:r w:rsidR="00CB7A12" w:rsidRPr="00D73872">
          <w:rPr>
            <w:rStyle w:val="Hyperlink"/>
            <w:rFonts w:ascii="Times New Roman" w:hAnsi="Times New Roman" w:cs="Times New Roman"/>
            <w:sz w:val="22"/>
            <w:szCs w:val="22"/>
          </w:rPr>
          <w:t>s</w:t>
        </w:r>
        <w:r w:rsidR="00CB7A12" w:rsidRPr="00D73872">
          <w:rPr>
            <w:rStyle w:val="Hyperlink"/>
            <w:rFonts w:ascii="Times New Roman" w:hAnsi="Times New Roman" w:cs="Times New Roman"/>
            <w:sz w:val="22"/>
            <w:szCs w:val="22"/>
          </w:rPr>
          <w:t>41591-021-01614-0</w:t>
        </w:r>
      </w:hyperlink>
      <w:r w:rsidR="00CB7A12">
        <w:rPr>
          <w:rFonts w:ascii="Times New Roman" w:hAnsi="Times New Roman" w:cs="Times New Roman"/>
          <w:sz w:val="22"/>
          <w:szCs w:val="22"/>
        </w:rPr>
        <w:t xml:space="preserve"> </w:t>
      </w:r>
    </w:p>
    <w:p w14:paraId="1D1EF8A1" w14:textId="35E0CDB4" w:rsidR="007643C6" w:rsidRPr="00CB7A12" w:rsidRDefault="00A6188B" w:rsidP="00CB7A12">
      <w:pPr>
        <w:spacing w:after="140" w:line="480" w:lineRule="auto"/>
        <w:ind w:left="720" w:hanging="720"/>
        <w:rPr>
          <w:rFonts w:ascii="Times New Roman" w:hAnsi="Times New Roman" w:cs="Times New Roman"/>
          <w:sz w:val="22"/>
          <w:szCs w:val="22"/>
        </w:rPr>
      </w:pPr>
      <w:r w:rsidRPr="00CB7A12">
        <w:rPr>
          <w:rFonts w:ascii="Times New Roman" w:hAnsi="Times New Roman" w:cs="Times New Roman"/>
          <w:sz w:val="22"/>
          <w:szCs w:val="22"/>
        </w:rPr>
        <w:t xml:space="preserve">Singhal, K., Azizi, S., Tu, T., Mahdavi, S. S., Wei, J., Chung, H. W., Scales, N., </w:t>
      </w:r>
      <w:proofErr w:type="spellStart"/>
      <w:r w:rsidRPr="00CB7A12">
        <w:rPr>
          <w:rFonts w:ascii="Times New Roman" w:hAnsi="Times New Roman" w:cs="Times New Roman"/>
          <w:sz w:val="22"/>
          <w:szCs w:val="22"/>
        </w:rPr>
        <w:t>Tanwani</w:t>
      </w:r>
      <w:proofErr w:type="spellEnd"/>
      <w:r w:rsidRPr="00CB7A12">
        <w:rPr>
          <w:rFonts w:ascii="Times New Roman" w:hAnsi="Times New Roman" w:cs="Times New Roman"/>
          <w:sz w:val="22"/>
          <w:szCs w:val="22"/>
        </w:rPr>
        <w:t xml:space="preserve">, A., Cole-Lewis, H., Pfohl, S., Payne, P., Seneviratne, M., </w:t>
      </w:r>
      <w:proofErr w:type="spellStart"/>
      <w:r w:rsidRPr="00CB7A12">
        <w:rPr>
          <w:rFonts w:ascii="Times New Roman" w:hAnsi="Times New Roman" w:cs="Times New Roman"/>
          <w:sz w:val="22"/>
          <w:szCs w:val="22"/>
        </w:rPr>
        <w:t>Ferruz</w:t>
      </w:r>
      <w:proofErr w:type="spellEnd"/>
      <w:r w:rsidRPr="00CB7A12">
        <w:rPr>
          <w:rFonts w:ascii="Times New Roman" w:hAnsi="Times New Roman" w:cs="Times New Roman"/>
          <w:sz w:val="22"/>
          <w:szCs w:val="22"/>
        </w:rPr>
        <w:t xml:space="preserve">, P., Huang, J., &amp; Natarajan, V. (2023). Large language models encode clinical knowledge. </w:t>
      </w:r>
      <w:r w:rsidRPr="00D033D1">
        <w:rPr>
          <w:rFonts w:ascii="Times New Roman" w:hAnsi="Times New Roman" w:cs="Times New Roman"/>
          <w:i/>
          <w:iCs/>
          <w:sz w:val="22"/>
          <w:szCs w:val="22"/>
        </w:rPr>
        <w:t>Nature, 620</w:t>
      </w:r>
      <w:r w:rsidRPr="00CB7A12">
        <w:rPr>
          <w:rFonts w:ascii="Times New Roman" w:hAnsi="Times New Roman" w:cs="Times New Roman"/>
          <w:sz w:val="22"/>
          <w:szCs w:val="22"/>
        </w:rPr>
        <w:t xml:space="preserve">(7972), 172–180. </w:t>
      </w:r>
      <w:hyperlink r:id="rId9" w:history="1">
        <w:r w:rsidR="00CB7A12" w:rsidRPr="00D73872">
          <w:rPr>
            <w:rStyle w:val="Hyperlink"/>
            <w:rFonts w:ascii="Times New Roman" w:hAnsi="Times New Roman" w:cs="Times New Roman"/>
            <w:sz w:val="22"/>
            <w:szCs w:val="22"/>
          </w:rPr>
          <w:t>https://doi.org/10.1038/s41586-023-06291-2</w:t>
        </w:r>
      </w:hyperlink>
      <w:r w:rsidR="00CB7A12">
        <w:rPr>
          <w:rFonts w:ascii="Times New Roman" w:hAnsi="Times New Roman" w:cs="Times New Roman"/>
          <w:sz w:val="22"/>
          <w:szCs w:val="22"/>
        </w:rPr>
        <w:t xml:space="preserve"> </w:t>
      </w:r>
    </w:p>
    <w:p w14:paraId="2E077C07" w14:textId="109B1DC5" w:rsidR="000D10F1" w:rsidRPr="00CB7A12" w:rsidRDefault="000D10F1" w:rsidP="00CB7A12">
      <w:pPr>
        <w:spacing w:after="140" w:line="480" w:lineRule="auto"/>
        <w:ind w:left="720" w:hanging="720"/>
        <w:rPr>
          <w:rFonts w:ascii="Times New Roman" w:hAnsi="Times New Roman" w:cs="Times New Roman"/>
          <w:sz w:val="22"/>
          <w:szCs w:val="22"/>
        </w:rPr>
      </w:pPr>
      <w:r w:rsidRPr="000D10F1">
        <w:rPr>
          <w:rFonts w:ascii="Times New Roman" w:hAnsi="Times New Roman" w:cs="Times New Roman"/>
          <w:sz w:val="22"/>
          <w:szCs w:val="22"/>
        </w:rPr>
        <w:t xml:space="preserve">Wei, J., Wang, X., Schuurmans, D., Bosma, M., </w:t>
      </w:r>
      <w:proofErr w:type="spellStart"/>
      <w:r w:rsidRPr="000D10F1">
        <w:rPr>
          <w:rFonts w:ascii="Times New Roman" w:hAnsi="Times New Roman" w:cs="Times New Roman"/>
          <w:sz w:val="22"/>
          <w:szCs w:val="22"/>
        </w:rPr>
        <w:t>Ichter</w:t>
      </w:r>
      <w:proofErr w:type="spellEnd"/>
      <w:r w:rsidRPr="000D10F1">
        <w:rPr>
          <w:rFonts w:ascii="Times New Roman" w:hAnsi="Times New Roman" w:cs="Times New Roman"/>
          <w:sz w:val="22"/>
          <w:szCs w:val="22"/>
        </w:rPr>
        <w:t xml:space="preserve">, B., Xia, F., Chi, E., Le, Q., &amp; Zhou, D. (2022). </w:t>
      </w:r>
      <w:r w:rsidR="003C70D1" w:rsidRPr="00D033D1">
        <w:rPr>
          <w:rFonts w:ascii="Times New Roman" w:hAnsi="Times New Roman" w:cs="Times New Roman"/>
          <w:i/>
          <w:iCs/>
          <w:sz w:val="22"/>
          <w:szCs w:val="22"/>
        </w:rPr>
        <w:t>Chain-of-thought prompting elicits reasoning in large language models</w:t>
      </w:r>
      <w:r w:rsidR="003C70D1" w:rsidRPr="00CB7A12">
        <w:rPr>
          <w:rFonts w:ascii="Times New Roman" w:hAnsi="Times New Roman" w:cs="Times New Roman"/>
          <w:sz w:val="22"/>
          <w:szCs w:val="22"/>
        </w:rPr>
        <w:t>.</w:t>
      </w:r>
      <w:r w:rsidR="003C70D1">
        <w:rPr>
          <w:rFonts w:ascii="Times New Roman" w:hAnsi="Times New Roman" w:cs="Times New Roman"/>
          <w:sz w:val="22"/>
          <w:szCs w:val="22"/>
        </w:rPr>
        <w:t xml:space="preserve"> </w:t>
      </w:r>
      <w:hyperlink r:id="rId10" w:history="1">
        <w:r w:rsidR="003C70D1" w:rsidRPr="0015218F">
          <w:rPr>
            <w:rStyle w:val="Hyperlink"/>
            <w:rFonts w:ascii="Times New Roman" w:hAnsi="Times New Roman" w:cs="Times New Roman"/>
            <w:sz w:val="22"/>
            <w:szCs w:val="22"/>
          </w:rPr>
          <w:t>https://arxiv.org/abs/2201.11903</w:t>
        </w:r>
      </w:hyperlink>
      <w:r w:rsidR="003C70D1">
        <w:rPr>
          <w:rFonts w:ascii="Times New Roman" w:hAnsi="Times New Roman" w:cs="Times New Roman"/>
          <w:sz w:val="22"/>
          <w:szCs w:val="22"/>
        </w:rPr>
        <w:t xml:space="preserve"> </w:t>
      </w:r>
    </w:p>
    <w:sectPr w:rsidR="000D10F1" w:rsidRPr="00CB7A12">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249C" w14:textId="77777777" w:rsidR="00A6188B" w:rsidRDefault="00A6188B" w:rsidP="00ED64BB">
      <w:r>
        <w:separator/>
      </w:r>
    </w:p>
  </w:endnote>
  <w:endnote w:type="continuationSeparator" w:id="0">
    <w:p w14:paraId="133ABBB4" w14:textId="77777777" w:rsidR="00A6188B" w:rsidRDefault="00A6188B" w:rsidP="00ED6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BD697" w14:textId="77777777" w:rsidR="00A6188B" w:rsidRDefault="00A6188B" w:rsidP="00ED64BB">
      <w:r>
        <w:separator/>
      </w:r>
    </w:p>
  </w:footnote>
  <w:footnote w:type="continuationSeparator" w:id="0">
    <w:p w14:paraId="28572C53" w14:textId="77777777" w:rsidR="00A6188B" w:rsidRDefault="00A6188B" w:rsidP="00ED64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199258"/>
      <w:docPartObj>
        <w:docPartGallery w:val="Page Numbers (Top of Page)"/>
        <w:docPartUnique/>
      </w:docPartObj>
    </w:sdtPr>
    <w:sdtEndPr>
      <w:rPr>
        <w:noProof/>
      </w:rPr>
    </w:sdtEndPr>
    <w:sdtContent>
      <w:p w14:paraId="477F63A9" w14:textId="0906F4F1" w:rsidR="00ED64BB" w:rsidRDefault="00ED64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69A053" w14:textId="77777777" w:rsidR="00ED64BB" w:rsidRDefault="00ED64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E6261"/>
    <w:multiLevelType w:val="hybridMultilevel"/>
    <w:tmpl w:val="0B82E42C"/>
    <w:lvl w:ilvl="0" w:tplc="17CC40BE">
      <w:start w:val="1"/>
      <w:numFmt w:val="bullet"/>
      <w:lvlText w:val="●"/>
      <w:lvlJc w:val="left"/>
      <w:pPr>
        <w:ind w:left="720" w:hanging="360"/>
      </w:pPr>
    </w:lvl>
    <w:lvl w:ilvl="1" w:tplc="1F405E70">
      <w:start w:val="1"/>
      <w:numFmt w:val="bullet"/>
      <w:lvlText w:val="○"/>
      <w:lvlJc w:val="left"/>
      <w:pPr>
        <w:ind w:left="1440" w:hanging="360"/>
      </w:pPr>
    </w:lvl>
    <w:lvl w:ilvl="2" w:tplc="792E542E">
      <w:start w:val="1"/>
      <w:numFmt w:val="bullet"/>
      <w:lvlText w:val="■"/>
      <w:lvlJc w:val="left"/>
      <w:pPr>
        <w:ind w:left="2160" w:hanging="360"/>
      </w:pPr>
    </w:lvl>
    <w:lvl w:ilvl="3" w:tplc="EB687420">
      <w:start w:val="1"/>
      <w:numFmt w:val="bullet"/>
      <w:lvlText w:val="●"/>
      <w:lvlJc w:val="left"/>
      <w:pPr>
        <w:ind w:left="2880" w:hanging="360"/>
      </w:pPr>
    </w:lvl>
    <w:lvl w:ilvl="4" w:tplc="8068B4C2">
      <w:start w:val="1"/>
      <w:numFmt w:val="bullet"/>
      <w:lvlText w:val="○"/>
      <w:lvlJc w:val="left"/>
      <w:pPr>
        <w:ind w:left="3600" w:hanging="360"/>
      </w:pPr>
    </w:lvl>
    <w:lvl w:ilvl="5" w:tplc="02F6D008">
      <w:start w:val="1"/>
      <w:numFmt w:val="bullet"/>
      <w:lvlText w:val="■"/>
      <w:lvlJc w:val="left"/>
      <w:pPr>
        <w:ind w:left="4320" w:hanging="360"/>
      </w:pPr>
    </w:lvl>
    <w:lvl w:ilvl="6" w:tplc="6A28F53A">
      <w:start w:val="1"/>
      <w:numFmt w:val="bullet"/>
      <w:lvlText w:val="●"/>
      <w:lvlJc w:val="left"/>
      <w:pPr>
        <w:ind w:left="5040" w:hanging="360"/>
      </w:pPr>
    </w:lvl>
    <w:lvl w:ilvl="7" w:tplc="6778C8C8">
      <w:start w:val="1"/>
      <w:numFmt w:val="bullet"/>
      <w:lvlText w:val="●"/>
      <w:lvlJc w:val="left"/>
      <w:pPr>
        <w:ind w:left="5760" w:hanging="360"/>
      </w:pPr>
    </w:lvl>
    <w:lvl w:ilvl="8" w:tplc="408C92D4">
      <w:start w:val="1"/>
      <w:numFmt w:val="bullet"/>
      <w:lvlText w:val="●"/>
      <w:lvlJc w:val="left"/>
      <w:pPr>
        <w:ind w:left="6480" w:hanging="360"/>
      </w:pPr>
    </w:lvl>
  </w:abstractNum>
  <w:num w:numId="1" w16cid:durableId="914896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3C6"/>
    <w:rsid w:val="000D10F1"/>
    <w:rsid w:val="00193F91"/>
    <w:rsid w:val="003C70D1"/>
    <w:rsid w:val="005A6C53"/>
    <w:rsid w:val="005F70FB"/>
    <w:rsid w:val="007643C6"/>
    <w:rsid w:val="0089772E"/>
    <w:rsid w:val="00910B05"/>
    <w:rsid w:val="009F6D4C"/>
    <w:rsid w:val="00A55A52"/>
    <w:rsid w:val="00A6188B"/>
    <w:rsid w:val="00C1256A"/>
    <w:rsid w:val="00CB7A12"/>
    <w:rsid w:val="00D033D1"/>
    <w:rsid w:val="00D1728B"/>
    <w:rsid w:val="00ED6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814B"/>
  <w15:docId w15:val="{B22C6341-845A-49B3-AA1D-4E64F1E5A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7A12"/>
    <w:rPr>
      <w:color w:val="605E5C"/>
      <w:shd w:val="clear" w:color="auto" w:fill="E1DFDD"/>
    </w:rPr>
  </w:style>
  <w:style w:type="paragraph" w:styleId="Header">
    <w:name w:val="header"/>
    <w:basedOn w:val="Normal"/>
    <w:link w:val="HeaderChar"/>
    <w:uiPriority w:val="99"/>
    <w:unhideWhenUsed/>
    <w:rsid w:val="00ED64BB"/>
    <w:pPr>
      <w:tabs>
        <w:tab w:val="center" w:pos="4680"/>
        <w:tab w:val="right" w:pos="9360"/>
      </w:tabs>
    </w:pPr>
  </w:style>
  <w:style w:type="character" w:customStyle="1" w:styleId="HeaderChar">
    <w:name w:val="Header Char"/>
    <w:basedOn w:val="DefaultParagraphFont"/>
    <w:link w:val="Header"/>
    <w:uiPriority w:val="99"/>
    <w:rsid w:val="00ED64BB"/>
  </w:style>
  <w:style w:type="paragraph" w:styleId="Footer">
    <w:name w:val="footer"/>
    <w:basedOn w:val="Normal"/>
    <w:link w:val="FooterChar"/>
    <w:uiPriority w:val="99"/>
    <w:unhideWhenUsed/>
    <w:rsid w:val="00ED64BB"/>
    <w:pPr>
      <w:tabs>
        <w:tab w:val="center" w:pos="4680"/>
        <w:tab w:val="right" w:pos="9360"/>
      </w:tabs>
    </w:pPr>
  </w:style>
  <w:style w:type="character" w:customStyle="1" w:styleId="FooterChar">
    <w:name w:val="Footer Char"/>
    <w:basedOn w:val="DefaultParagraphFont"/>
    <w:link w:val="Footer"/>
    <w:uiPriority w:val="99"/>
    <w:rsid w:val="00ED64BB"/>
  </w:style>
  <w:style w:type="character" w:styleId="FollowedHyperlink">
    <w:name w:val="FollowedHyperlink"/>
    <w:basedOn w:val="DefaultParagraphFont"/>
    <w:uiPriority w:val="99"/>
    <w:semiHidden/>
    <w:unhideWhenUsed/>
    <w:rsid w:val="005F70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s41591-021-01614-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602.1950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rxiv.org/abs/2201.11903" TargetMode="External"/><Relationship Id="rId4" Type="http://schemas.openxmlformats.org/officeDocument/2006/relationships/webSettings" Target="webSettings.xml"/><Relationship Id="rId9" Type="http://schemas.openxmlformats.org/officeDocument/2006/relationships/hyperlink" Target="https://doi.org/10.1038/s41586-023-062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3226</TotalTime>
  <Pages>3</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Rashmita Kudamala</cp:lastModifiedBy>
  <cp:revision>13</cp:revision>
  <cp:lastPrinted>2026-06-26T20:12:00Z</cp:lastPrinted>
  <dcterms:created xsi:type="dcterms:W3CDTF">2026-06-26T20:05:00Z</dcterms:created>
  <dcterms:modified xsi:type="dcterms:W3CDTF">2026-06-29T01:51:00Z</dcterms:modified>
</cp:coreProperties>
</file>