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4"/>
          <w:szCs w:val="24"/>
        </w:rPr>
        <w:t xml:space="preserve"/>
      </w:r>
    </w:p>
    <w:p>
      <w:pPr>
        <w:spacing w:after="120" w:before="480"/>
        <w:jc w:val="center"/>
      </w:pPr>
      <w:r>
        <w:rPr>
          <w:rFonts w:ascii="Times New Roman" w:cs="Times New Roman" w:eastAsia="Times New Roman" w:hAnsi="Times New Roman"/>
          <w:b/>
          <w:bCs/>
          <w:color w:val="1F3864"/>
          <w:sz w:val="72"/>
          <w:szCs w:val="72"/>
        </w:rPr>
        <w:t xml:space="preserve">RCM360</w:t>
      </w:r>
    </w:p>
    <w:p>
      <w:pPr>
        <w:spacing w:after="240" w:before="120"/>
        <w:jc w:val="center"/>
      </w:pPr>
      <w:r>
        <w:rPr>
          <w:rFonts w:ascii="Times New Roman" w:cs="Times New Roman" w:eastAsia="Times New Roman" w:hAnsi="Times New Roman"/>
          <w:b/>
          <w:bCs/>
          <w:color w:val="2E5496"/>
          <w:sz w:val="36"/>
          <w:szCs w:val="36"/>
        </w:rPr>
        <w:t xml:space="preserve">Healthcare Revenue Cycle Management Analytics Dashboard</w:t>
      </w:r>
    </w:p>
    <w:p>
      <w:pPr>
        <w:pBdr>
          <w:top w:val="single" w:color="1F3864" w:sz="12" w:space="1"/>
          <w:bottom w:val="single" w:color="1F3864" w:sz="12" w:space="1"/>
        </w:pBdr>
        <w:spacing w:after="240" w:before="240"/>
        <w:jc w:val="center"/>
      </w:pPr>
      <w:r>
        <w:rPr>
          <w:rFonts w:ascii="Times New Roman" w:cs="Times New Roman" w:eastAsia="Times New Roman" w:hAnsi="Times New Roman"/>
          <w:b/>
          <w:bCs/>
          <w:color w:val="333333"/>
          <w:sz w:val="32"/>
          <w:szCs w:val="32"/>
        </w:rPr>
        <w:t xml:space="preserve">MCA Final Year Project Report</w:t>
      </w:r>
    </w:p>
    <w:p>
      <w:pPr>
        <w:spacing w:after="60" w:before="60"/>
      </w:pPr>
      <w:r>
        <w:rPr>
          <w:rFonts w:ascii="Times New Roman" w:cs="Times New Roman" w:eastAsia="Times New Roman" w:hAnsi="Times New Roman"/>
          <w:sz w:val="24"/>
          <w:szCs w:val="24"/>
        </w:rPr>
        <w:t xml:space="preserve"/>
      </w:r>
    </w:p>
    <w:p>
      <w:pPr>
        <w:spacing w:after="60" w:before="480"/>
        <w:jc w:val="center"/>
      </w:pPr>
      <w:r>
        <w:rPr>
          <w:rFonts w:ascii="Times New Roman" w:cs="Times New Roman" w:eastAsia="Times New Roman" w:hAnsi="Times New Roman"/>
          <w:b/>
          <w:bCs/>
          <w:sz w:val="24"/>
          <w:szCs w:val="24"/>
        </w:rPr>
        <w:t xml:space="preserve">Submitted By:</w:t>
      </w:r>
    </w:p>
    <w:p>
      <w:pPr>
        <w:spacing w:after="60" w:before="60"/>
        <w:jc w:val="center"/>
      </w:pPr>
      <w:r>
        <w:rPr>
          <w:rFonts w:ascii="Times New Roman" w:cs="Times New Roman" w:eastAsia="Times New Roman" w:hAnsi="Times New Roman"/>
          <w:sz w:val="24"/>
          <w:szCs w:val="24"/>
        </w:rPr>
        <w:t xml:space="preserve">[Your Name]</w:t>
      </w:r>
    </w:p>
    <w:p>
      <w:pPr>
        <w:spacing w:after="60" w:before="60"/>
        <w:jc w:val="center"/>
      </w:pPr>
      <w:r>
        <w:rPr>
          <w:rFonts w:ascii="Times New Roman" w:cs="Times New Roman" w:eastAsia="Times New Roman" w:hAnsi="Times New Roman"/>
          <w:sz w:val="24"/>
          <w:szCs w:val="24"/>
        </w:rPr>
        <w:t xml:space="preserve">Enrollment No.: [Your Enrollment Number]</w:t>
      </w:r>
    </w:p>
    <w:p>
      <w:pPr>
        <w:spacing w:after="60" w:before="60"/>
        <w:jc w:val="center"/>
      </w:pPr>
      <w:r>
        <w:rPr>
          <w:rFonts w:ascii="Times New Roman" w:cs="Times New Roman" w:eastAsia="Times New Roman" w:hAnsi="Times New Roman"/>
          <w:sz w:val="24"/>
          <w:szCs w:val="24"/>
        </w:rPr>
        <w:t xml:space="preserve">MCA – Final Year (Semester VI)</w:t>
      </w:r>
    </w:p>
    <w:p>
      <w:pPr>
        <w:spacing w:after="60" w:before="60"/>
      </w:pPr>
      <w:r>
        <w:rPr>
          <w:rFonts w:ascii="Times New Roman" w:cs="Times New Roman" w:eastAsia="Times New Roman" w:hAnsi="Times New Roman"/>
          <w:sz w:val="24"/>
          <w:szCs w:val="24"/>
        </w:rPr>
        <w:t xml:space="preserve"/>
      </w:r>
    </w:p>
    <w:p>
      <w:pPr>
        <w:spacing w:after="60" w:before="240"/>
        <w:jc w:val="center"/>
      </w:pPr>
      <w:r>
        <w:rPr>
          <w:rFonts w:ascii="Times New Roman" w:cs="Times New Roman" w:eastAsia="Times New Roman" w:hAnsi="Times New Roman"/>
          <w:b/>
          <w:bCs/>
          <w:sz w:val="24"/>
          <w:szCs w:val="24"/>
        </w:rPr>
        <w:t xml:space="preserve">Under the Guidance of:</w:t>
      </w:r>
    </w:p>
    <w:p>
      <w:pPr>
        <w:spacing w:after="60" w:before="60"/>
        <w:jc w:val="center"/>
      </w:pPr>
      <w:r>
        <w:rPr>
          <w:rFonts w:ascii="Times New Roman" w:cs="Times New Roman" w:eastAsia="Times New Roman" w:hAnsi="Times New Roman"/>
          <w:sz w:val="24"/>
          <w:szCs w:val="24"/>
        </w:rPr>
        <w:t xml:space="preserve">[Supervisor/Guide Name]</w:t>
      </w:r>
    </w:p>
    <w:p>
      <w:pPr>
        <w:spacing w:after="60" w:before="60"/>
        <w:jc w:val="center"/>
      </w:pPr>
      <w:r>
        <w:rPr>
          <w:rFonts w:ascii="Times New Roman" w:cs="Times New Roman" w:eastAsia="Times New Roman" w:hAnsi="Times New Roman"/>
          <w:sz w:val="24"/>
          <w:szCs w:val="24"/>
        </w:rPr>
        <w:t xml:space="preserve">Department of Computer Science &amp; Applications</w:t>
      </w:r>
    </w:p>
    <w:p>
      <w:pPr>
        <w:spacing w:after="60" w:before="60"/>
      </w:pPr>
      <w:r>
        <w:rPr>
          <w:rFonts w:ascii="Times New Roman" w:cs="Times New Roman" w:eastAsia="Times New Roman" w:hAnsi="Times New Roman"/>
          <w:sz w:val="24"/>
          <w:szCs w:val="24"/>
        </w:rPr>
        <w:t xml:space="preserve"/>
      </w:r>
    </w:p>
    <w:p>
      <w:pPr>
        <w:spacing w:after="60" w:before="240"/>
        <w:jc w:val="center"/>
      </w:pPr>
      <w:r>
        <w:rPr>
          <w:rFonts w:ascii="Times New Roman" w:cs="Times New Roman" w:eastAsia="Times New Roman" w:hAnsi="Times New Roman"/>
          <w:b/>
          <w:bCs/>
          <w:color w:val="1F3864"/>
          <w:sz w:val="26"/>
          <w:szCs w:val="26"/>
        </w:rPr>
        <w:t xml:space="preserve">[University/Institute Name]</w:t>
      </w:r>
    </w:p>
    <w:p>
      <w:pPr>
        <w:spacing w:after="1440" w:before="60"/>
        <w:jc w:val="center"/>
      </w:pPr>
      <w:r>
        <w:rPr>
          <w:rFonts w:ascii="Times New Roman" w:cs="Times New Roman" w:eastAsia="Times New Roman" w:hAnsi="Times New Roman"/>
          <w:sz w:val="24"/>
          <w:szCs w:val="24"/>
        </w:rPr>
        <w:t xml:space="preserve">Academic Year: 2024–2025</w:t>
      </w:r>
    </w:p>
    <w:p>
      <w:r>
        <w:br w:type="page"/>
      </w:r>
    </w:p>
    <w:p>
      <w:pPr>
        <w:spacing w:after="240" w:before="240"/>
        <w:jc w:val="center"/>
      </w:pPr>
      <w:r>
        <w:rPr>
          <w:rFonts w:ascii="Times New Roman" w:cs="Times New Roman" w:eastAsia="Times New Roman" w:hAnsi="Times New Roman"/>
          <w:b/>
          <w:bCs/>
          <w:color w:val="1F3864"/>
          <w:sz w:val="32"/>
          <w:szCs w:val="32"/>
        </w:rPr>
        <w:t xml:space="preserve">DECLARATION</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I hereby declare that the project report entitled "RCM360: Healthcare Revenue Cycle Management Analytics Dashboard" submitted to [University/Institute Name] in partial fulfilment of the requirements for the award of the degree of Master of Computer Applications (MCA) is a record of original work carried out by me under the supervision and guidance of [Supervisor Name].</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project has not been submitted for the award of any other degree or diploma in any other university or institution. All the information and data included in this report have been gathered and analysed by me during the project period.</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work is solely my own and wherever ideas, expressions, or works of other authors/contributors have been incorporated, due acknowledgement has been made.</w:t>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120" w:before="480"/>
      </w:pPr>
      <w:r>
        <w:rPr>
          <w:rFonts w:ascii="Times New Roman" w:cs="Times New Roman" w:eastAsia="Times New Roman" w:hAnsi="Times New Roman"/>
          <w:sz w:val="24"/>
          <w:szCs w:val="24"/>
        </w:rPr>
        <w:t xml:space="preserve">Date: _______________</w:t>
      </w:r>
    </w:p>
    <w:p>
      <w:pPr>
        <w:spacing w:after="360" w:before="60"/>
      </w:pPr>
      <w:r>
        <w:rPr>
          <w:rFonts w:ascii="Times New Roman" w:cs="Times New Roman" w:eastAsia="Times New Roman" w:hAnsi="Times New Roman"/>
          <w:sz w:val="24"/>
          <w:szCs w:val="24"/>
        </w:rPr>
        <w:t xml:space="preserve">Place: _______________</w:t>
      </w:r>
    </w:p>
    <w:p>
      <w:pPr>
        <w:spacing w:after="60" w:before="240"/>
        <w:jc w:val="right"/>
      </w:pPr>
      <w:r>
        <w:rPr>
          <w:rFonts w:ascii="Times New Roman" w:cs="Times New Roman" w:eastAsia="Times New Roman" w:hAnsi="Times New Roman"/>
          <w:sz w:val="24"/>
          <w:szCs w:val="24"/>
        </w:rPr>
        <w:t xml:space="preserve">____________________________</w:t>
      </w:r>
    </w:p>
    <w:p>
      <w:pPr>
        <w:spacing w:after="60" w:before="60"/>
        <w:jc w:val="right"/>
      </w:pPr>
      <w:r>
        <w:rPr>
          <w:rFonts w:ascii="Times New Roman" w:cs="Times New Roman" w:eastAsia="Times New Roman" w:hAnsi="Times New Roman"/>
          <w:b/>
          <w:bCs/>
          <w:sz w:val="24"/>
          <w:szCs w:val="24"/>
        </w:rPr>
        <w:t xml:space="preserve">[Your Name]</w:t>
      </w:r>
    </w:p>
    <w:p>
      <w:pPr>
        <w:spacing w:after="60" w:before="60"/>
        <w:jc w:val="right"/>
      </w:pPr>
      <w:r>
        <w:rPr>
          <w:rFonts w:ascii="Times New Roman" w:cs="Times New Roman" w:eastAsia="Times New Roman" w:hAnsi="Times New Roman"/>
          <w:sz w:val="24"/>
          <w:szCs w:val="24"/>
        </w:rPr>
        <w:t xml:space="preserve">[Enrollment Number]</w:t>
      </w:r>
    </w:p>
    <w:p>
      <w:r>
        <w:br w:type="page"/>
      </w:r>
    </w:p>
    <w:p>
      <w:pPr>
        <w:spacing w:after="240" w:before="240"/>
        <w:jc w:val="center"/>
      </w:pPr>
      <w:r>
        <w:rPr>
          <w:rFonts w:ascii="Times New Roman" w:cs="Times New Roman" w:eastAsia="Times New Roman" w:hAnsi="Times New Roman"/>
          <w:b/>
          <w:bCs/>
          <w:color w:val="1F3864"/>
          <w:sz w:val="32"/>
          <w:szCs w:val="32"/>
        </w:rPr>
        <w:t xml:space="preserve">CERTIFICATE</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is to certify that the project entitled "RCM360: Healthcare Revenue Cycle Management Analytics Dashboard" is a bonafide work carried out by [Student Name], Enrollment No. [XXXX], under my supervision and guidance in partial fulfilment of the requirements for the award of the degree of Master of Computer Applications (MCA) from [University/Institute Name].</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work reported herein is original and has not been submitted to any other university or institution for the award of any degree or diploma.</w:t>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120" w:before="480"/>
      </w:pPr>
      <w:r>
        <w:rPr>
          <w:rFonts w:ascii="Times New Roman" w:cs="Times New Roman" w:eastAsia="Times New Roman" w:hAnsi="Times New Roman"/>
          <w:sz w:val="24"/>
          <w:szCs w:val="24"/>
        </w:rPr>
        <w:t xml:space="preserve">Date: _______________</w:t>
      </w:r>
    </w:p>
    <w:p>
      <w:pPr>
        <w:spacing w:after="360" w:before="60"/>
      </w:pPr>
      <w:r>
        <w:rPr>
          <w:rFonts w:ascii="Times New Roman" w:cs="Times New Roman" w:eastAsia="Times New Roman" w:hAnsi="Times New Roman"/>
          <w:sz w:val="24"/>
          <w:szCs w:val="24"/>
        </w:rPr>
        <w:t xml:space="preserve">Place: _______________</w:t>
      </w:r>
    </w:p>
    <w:p>
      <w:pPr>
        <w:spacing w:after="60" w:before="240"/>
        <w:jc w:val="right"/>
      </w:pPr>
      <w:r>
        <w:rPr>
          <w:rFonts w:ascii="Times New Roman" w:cs="Times New Roman" w:eastAsia="Times New Roman" w:hAnsi="Times New Roman"/>
          <w:sz w:val="24"/>
          <w:szCs w:val="24"/>
        </w:rPr>
        <w:t xml:space="preserve">____________________________</w:t>
      </w:r>
    </w:p>
    <w:p>
      <w:pPr>
        <w:spacing w:after="60" w:before="60"/>
        <w:jc w:val="right"/>
      </w:pPr>
      <w:r>
        <w:rPr>
          <w:rFonts w:ascii="Times New Roman" w:cs="Times New Roman" w:eastAsia="Times New Roman" w:hAnsi="Times New Roman"/>
          <w:b/>
          <w:bCs/>
          <w:sz w:val="24"/>
          <w:szCs w:val="24"/>
        </w:rPr>
        <w:t xml:space="preserve">[Supervisor/Guide Name]</w:t>
      </w:r>
    </w:p>
    <w:p>
      <w:pPr>
        <w:spacing w:after="60" w:before="60"/>
        <w:jc w:val="right"/>
      </w:pPr>
      <w:r>
        <w:rPr>
          <w:rFonts w:ascii="Times New Roman" w:cs="Times New Roman" w:eastAsia="Times New Roman" w:hAnsi="Times New Roman"/>
          <w:sz w:val="24"/>
          <w:szCs w:val="24"/>
        </w:rPr>
        <w:t xml:space="preserve">Department of Computer Science &amp; Applications</w:t>
      </w:r>
    </w:p>
    <w:p>
      <w:pPr>
        <w:spacing w:after="60" w:before="60"/>
        <w:jc w:val="right"/>
      </w:pPr>
      <w:r>
        <w:rPr>
          <w:rFonts w:ascii="Times New Roman" w:cs="Times New Roman" w:eastAsia="Times New Roman" w:hAnsi="Times New Roman"/>
          <w:sz w:val="24"/>
          <w:szCs w:val="24"/>
        </w:rPr>
        <w:t xml:space="preserve">[University/Institute Name]</w:t>
      </w:r>
    </w:p>
    <w:p>
      <w:r>
        <w:br w:type="page"/>
      </w:r>
    </w:p>
    <w:p>
      <w:pPr>
        <w:spacing w:after="240" w:before="240"/>
        <w:jc w:val="center"/>
      </w:pPr>
      <w:r>
        <w:rPr>
          <w:rFonts w:ascii="Times New Roman" w:cs="Times New Roman" w:eastAsia="Times New Roman" w:hAnsi="Times New Roman"/>
          <w:b/>
          <w:bCs/>
          <w:color w:val="1F3864"/>
          <w:sz w:val="32"/>
          <w:szCs w:val="32"/>
        </w:rPr>
        <w:t xml:space="preserve">ACKNOWLEDGEMENT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I would like to express my sincere gratitude and appreciation to all those who provided me the support, guidance, and encouragement to complete this project successfully.</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First and foremost, I am deeply indebted to my project guide, [Supervisor Name], for their invaluable guidance, constructive criticism, and constant encouragement throughout the entire project. Their expertise in healthcare analytics and data visualization significantly shaped the direction of this work.</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I also wish to express my heartfelt thanks to the Head of the Department of Computer Science and Applications, [HOD Name], for providing the necessary facilities and academic support during the project period.</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I am grateful to IDS Infotech Ltd. for the knowledge transfer documentation on RCM360, which provided authentic insights into a real-world Power BI healthcare analytics implementation. This formed the backbone of the technical analysis presented in this report.</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I extend my appreciation to my classmates and friends for their motivation and moral support throughout the duration of this project.</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Last but not least, I am eternally thankful to my family for their unwavering support, patience, and encouragement throughout my academic journey.</w:t>
      </w:r>
    </w:p>
    <w:p>
      <w:pPr>
        <w:spacing w:after="60" w:before="60"/>
      </w:pPr>
      <w:r>
        <w:rPr>
          <w:rFonts w:ascii="Times New Roman" w:cs="Times New Roman" w:eastAsia="Times New Roman" w:hAnsi="Times New Roman"/>
          <w:sz w:val="24"/>
          <w:szCs w:val="24"/>
        </w:rPr>
        <w:t xml:space="preserve"/>
      </w:r>
    </w:p>
    <w:p>
      <w:pPr>
        <w:spacing w:after="60" w:before="480"/>
        <w:jc w:val="right"/>
      </w:pPr>
      <w:r>
        <w:rPr>
          <w:rFonts w:ascii="Times New Roman" w:cs="Times New Roman" w:eastAsia="Times New Roman" w:hAnsi="Times New Roman"/>
          <w:b/>
          <w:bCs/>
          <w:sz w:val="24"/>
          <w:szCs w:val="24"/>
        </w:rPr>
        <w:t xml:space="preserve">[Your Name]</w:t>
      </w:r>
    </w:p>
    <w:p>
      <w:r>
        <w:br w:type="page"/>
      </w:r>
    </w:p>
    <w:p>
      <w:pPr>
        <w:spacing w:after="240" w:before="240"/>
        <w:jc w:val="center"/>
      </w:pPr>
      <w:r>
        <w:rPr>
          <w:rFonts w:ascii="Times New Roman" w:cs="Times New Roman" w:eastAsia="Times New Roman" w:hAnsi="Times New Roman"/>
          <w:b/>
          <w:bCs/>
          <w:color w:val="1F3864"/>
          <w:sz w:val="32"/>
          <w:szCs w:val="32"/>
        </w:rPr>
        <w:t xml:space="preserve">ABSTRACT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healthcare industry generates massive volumes of billing and revenue data on a daily basis. However, many healthcare providers, clinics, and billing companies continue to rely on fragmented spreadsheets and disconnected systems, leading to delayed insights, revenue leakage, and operational inefficiencies. This project presents the design, development, and analysis of RCM360 – a comprehensive, Power BI-based Healthcare Revenue Cycle Management (RCM) Analytics Dashboard developed by IDS Infotech Ltd.</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integrates appointment data from EPIC, claims submission data from Office Ally, and payment remittance data from Electronic Remittance Advice (ERA) reports into a single, unified analytical platform. Automated Python ETL (Extract, Transform, Load) scripts clean, deduplicate, and merge these disparate datasets into a well-structured Power BI data model built on a star schema design. Business logic is implemented using DAX (Data Analysis Expressions) measures, computing over 30 KPIs across appointment, submission, payment, and provider performance dimensions.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resulting dashboard features five interactive report pages – Patient View, Patient Description, Appointment Report, Submission Report, and Payment Report – each equipped with dynamic measure selectors, dimension toggles, and cross-page filter consistency. Key performance indicators include cancellation rates, no-show rates, slot utilization, average days to bill, CPT submission analysis, payer performance benchmarking, payment collection rates, and patient financial responsibility tracking.</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report critically examines the system architecture, technology stack, data flow, KPI framework, testing methodology, and deployment strategy of RCM360. The project demonstrates how modern Business Intelligence (BI) tools combined with automated ETL pipelines can significantly improve revenue cycle visibility, reduce operational inefficiencies, and support data-driven decision making in healthcare organizations.</w:t>
      </w:r>
    </w:p>
    <w:p>
      <w:pPr>
        <w:spacing w:after="60" w:before="6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Revenue Cycle Management, Power BI, Healthcare Analytics, ETL, EPIC, Office Ally, ERA, DAX, KPI Dashboard, Business Intelligence</w:t>
      </w:r>
    </w:p>
    <w:p>
      <w:r>
        <w:br w:type="page"/>
      </w:r>
    </w:p>
    <w:p>
      <w:pPr>
        <w:spacing w:after="240" w:before="240"/>
        <w:jc w:val="center"/>
      </w:pPr>
      <w:r>
        <w:rPr>
          <w:rFonts w:ascii="Times New Roman" w:cs="Times New Roman" w:eastAsia="Times New Roman" w:hAnsi="Times New Roman"/>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240" w:before="240"/>
        <w:jc w:val="center"/>
      </w:pPr>
      <w:r>
        <w:rPr>
          <w:rFonts w:ascii="Times New Roman" w:cs="Times New Roman" w:eastAsia="Times New Roman" w:hAnsi="Times New Roman"/>
          <w:b/>
          <w:bCs/>
          <w:color w:val="1F3864"/>
          <w:sz w:val="32"/>
          <w:szCs w:val="32"/>
        </w:rPr>
        <w:t xml:space="preserve">LIST OF TABLES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1: Technology Stack Overview</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2: Architecture Layers and Components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3: Data Source Overview</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4: Patient View KPI Banner Values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5: Dashboard Filter Options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6: KPI Categories and Business Purpose</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7: Appointment Dataset – Data Dictionary</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8: Submission Dataset – Data Dictionary</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9: Payment Dataset – Data Dictionary</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10: Dynamic Measure Selector Options by Page</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11: Troubleshooting Common Issues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12: Comparison with Existing Systems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13: Functional Testing Results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Table 14: UAT Results Summary</w:t>
      </w:r>
    </w:p>
    <w:p>
      <w:pPr>
        <w:pStyle w:val="Heading1"/>
        <w:pageBreakBefore/>
        <w:spacing w:after="120" w:before="240"/>
      </w:pPr>
      <w:r>
        <w:rPr>
          <w:rFonts w:ascii="Times New Roman" w:cs="Times New Roman" w:eastAsia="Times New Roman" w:hAnsi="Times New Roman"/>
          <w:b/>
          <w:bCs/>
          <w:color w:val="1F3864"/>
          <w:sz w:val="32"/>
          <w:szCs w:val="32"/>
        </w:rPr>
        <w:t xml:space="preserve">CHAPTER 1: INTRODUCTION</w:t>
      </w:r>
    </w:p>
    <w:p>
      <w:pPr>
        <w:pStyle w:val="Heading2"/>
        <w:spacing w:after="80" w:before="180"/>
      </w:pPr>
      <w:r>
        <w:rPr>
          <w:rFonts w:ascii="Times New Roman" w:cs="Times New Roman" w:eastAsia="Times New Roman" w:hAnsi="Times New Roman"/>
          <w:b/>
          <w:bCs/>
          <w:color w:val="2E5496"/>
          <w:sz w:val="28"/>
          <w:szCs w:val="28"/>
        </w:rPr>
        <w:t xml:space="preserve">1.1 Project Background</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healthcare industry in the United States and globally faces increasing pressure to improve financial performance while maintaining high-quality patient care. Revenue Cycle Management (RCM) is the backbone of healthcare financial operations – it encompasses every administrative and clinical function that contributes to the capture, management, and collection of patient service revenue, from the initial appointment scheduling through to the final payment of a balance.</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Traditionally, healthcare organizations have relied on manual reporting methods, disconnected data silos, and spreadsheet-based systems to track their revenue cycles. Billing teams managed multiple Excel files, financial managers lacked real-time visibility into claim statuses, and providers operated without insight into their billing performance. This fragmented approach resulted in revenue leakage, delayed payments, increased denials, and missed optimization opportunities.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emergence of Business Intelligence (BI) platforms such as Microsoft Power BI has created new opportunities to transform healthcare financial data into actionable insights. Power BI's capabilities for data integration, real-time visualization, and interactive reporting are especially valuable in the healthcare domain where decisions must be timely, accurate, and evidence-based.</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is a Power BI-based Healthcare Analytics Dashboard developed by IDS Infotech Ltd. as a response to these challenges. It represents a comprehensive solution that automates data collection, processing, and visualization across the entire revenue cycle. This project report analyzes the architecture, design, implementation, and impact of RCM360, positioning it as a model for modern healthcare analytics platforms.</w:t>
      </w:r>
    </w:p>
    <w:p>
      <w:pPr>
        <w:pStyle w:val="Heading2"/>
        <w:spacing w:after="80" w:before="180"/>
      </w:pPr>
      <w:r>
        <w:rPr>
          <w:rFonts w:ascii="Times New Roman" w:cs="Times New Roman" w:eastAsia="Times New Roman" w:hAnsi="Times New Roman"/>
          <w:b/>
          <w:bCs/>
          <w:color w:val="2E5496"/>
          <w:sz w:val="28"/>
          <w:szCs w:val="28"/>
        </w:rPr>
        <w:t xml:space="preserve">1.2 Problem Statement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Healthcare providers and billing companies face the following critical challenges in revenue cycle management:</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Manual Reporting Overhead: Billing teams maintained multiple disconnected spreadsheets with no centralized view of financial performance, resulting in high labour costs and significant error rates.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Delayed Insights: Without real-time dashboards, management teams could not access current appointment, submission, or payment statuses, leading to reactive rather than proactive decision-making.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Scattered Data Sources: Appointment data (EPIC), claims submission records (Office Ally), and payment remittance data (ERA reports) existed in separate, incompatible systems with no automated integration.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Revenue Leakage: Unsubmitted claims, missed CPT codes, underpayments, and untracked denials led to significant financial losses that went undetected in legacy reporting systems.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Limited Provider Accountability: Individual provider performance in terms of appointment management, billing contribution, and CPT submission rates could not be benchmarked systematically.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Audit and Compliance Risks: Manual, fragmented reporting created difficulties in audit preparation, billing compliance, and regulatory documentation.</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These challenges collectively highlight the need for an integrated, automated, and real-time analytics platform that can unify data sources, automate report generation, and provide actionable insights across all revenue cycle dimensions.</w:t>
      </w:r>
    </w:p>
    <w:p>
      <w:pPr>
        <w:pStyle w:val="Heading2"/>
        <w:spacing w:after="80" w:before="180"/>
      </w:pPr>
      <w:r>
        <w:rPr>
          <w:rFonts w:ascii="Times New Roman" w:cs="Times New Roman" w:eastAsia="Times New Roman" w:hAnsi="Times New Roman"/>
          <w:b/>
          <w:bCs/>
          <w:color w:val="2E5496"/>
          <w:sz w:val="28"/>
          <w:szCs w:val="28"/>
        </w:rPr>
        <w:t xml:space="preserve">1.3 Objectives of the Project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primary objectives of the RCM360 project are as follows: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 design and implement a centralized Power BI dashboard that integrates appointment, submission, and payment data from multiple healthcare source systems into a unified analytical platform.</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 automate data extraction, transformation, and loading processes using Python ETL scripts, eliminating manual reporting tasks and ensuring data accuracy.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 develop and compute over 30 Key Performance Indicators (KPIs) covering appointment efficiency, billing timeliness, payment collection, payer performance, and provider productivity.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 provide interactive, role-appropriate reporting capabilities that serve the needs of providers, billing teams, finance managers, and administrative staff.</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 enable proactive revenue cycle management by surfacing unsubmitted claims, denial patterns, underpayment alerts, and slot utilization inefficiencies.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 ensure data security, compliance with healthcare data standards, and audit readiness through structured, clean, and reproducible reporting.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 demonstrate the technical and business value of applying Business Intelligence methodologies to healthcare financial operations.</w:t>
      </w:r>
    </w:p>
    <w:p>
      <w:pPr>
        <w:pStyle w:val="Heading2"/>
        <w:spacing w:after="80" w:before="180"/>
      </w:pPr>
      <w:r>
        <w:rPr>
          <w:rFonts w:ascii="Times New Roman" w:cs="Times New Roman" w:eastAsia="Times New Roman" w:hAnsi="Times New Roman"/>
          <w:b/>
          <w:bCs/>
          <w:color w:val="2E5496"/>
          <w:sz w:val="28"/>
          <w:szCs w:val="28"/>
        </w:rPr>
        <w:t xml:space="preserve">1.4 Scope of the Project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scope of the RCM360 project encompasses: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 Integration from three core source systems: EPIC (appointments), Office Ally (submissions), and ERA Reports (payments).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ETL Pipeline Development using Python scripts for automated data extraction, cleaning, deduplication, and loading into Power BI.</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Power BI Dashboard Development featuring five interactive report pages with dynamic filters, measure selectors, and cross-page filter consistency.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KPI Framework Design covering six KPI categories: Appointment KPIs, Submission KPIs, Payment KPIs, Payer Analysis KPIs, Provider Performance KPIs, and Trend KPIs.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Multi-stakeholder Access: The platform serves providers, billing teams, finance departments, and administrative staff across single or multi-location practices.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Publishing and Deployment on Power BI Service with role-based access control, scheduled data refresh, and browser-based report sharing.</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scope is limited to analytical (read-only) reporting and does not include real-time claim submission, direct EHR (Electronic Health Record) integration, or patient-facing billing portals. The system covers Medicare, Medicaid, and private insurer payment processing.</w:t>
      </w:r>
    </w:p>
    <w:p>
      <w:pPr>
        <w:pStyle w:val="Heading2"/>
        <w:spacing w:after="80" w:before="180"/>
      </w:pPr>
      <w:r>
        <w:rPr>
          <w:rFonts w:ascii="Times New Roman" w:cs="Times New Roman" w:eastAsia="Times New Roman" w:hAnsi="Times New Roman"/>
          <w:b/>
          <w:bCs/>
          <w:color w:val="2E5496"/>
          <w:sz w:val="28"/>
          <w:szCs w:val="28"/>
        </w:rPr>
        <w:t xml:space="preserve">1.5 Significance of Study</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study is significant for several reasons: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Clinical and Financial Impact: By improving revenue cycle visibility, RCM360 helps healthcare organizations reduce revenue leakage, accelerate collections, and optimize resource allocation. A single undetected underpayment pattern across thousands of claims can represent substantial financial losses; RCM360 makes these patterns visible instantly.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Technological Contribution: The project demonstrates the practical application of modern BI tools (Power BI), cloud analytics (Power BI Service), automated ETL (Python), and DAX-based measure computation in a real-world healthcare setting.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Academic Relevance: As an MCA final year project, this study bridges theoretical concepts in database management, data analytics, software engineering, and cloud computing with practical implementation in a high-impact domain.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Scalability and Generalizability: The architectural patterns, ETL design, and KPI framework developed for RCM360 can be adapted to other healthcare organizations, billing companies, and multi-specialty practices.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Industry Alignment: Revenue Cycle Management analytics is a rapidly growing field; this project provides exposure to industry-standard tools and methodologies actively sought by employers in the healthcare IT sector.</w:t>
      </w:r>
    </w:p>
    <w:p>
      <w:pPr>
        <w:pStyle w:val="Heading1"/>
        <w:pageBreakBefore/>
        <w:spacing w:after="120" w:before="240"/>
      </w:pPr>
      <w:r>
        <w:rPr>
          <w:rFonts w:ascii="Times New Roman" w:cs="Times New Roman" w:eastAsia="Times New Roman" w:hAnsi="Times New Roman"/>
          <w:b/>
          <w:bCs/>
          <w:color w:val="1F3864"/>
          <w:sz w:val="32"/>
          <w:szCs w:val="32"/>
        </w:rPr>
        <w:t xml:space="preserve">CHAPTER 2: LITERATURE REVIEW</w:t>
      </w:r>
    </w:p>
    <w:p>
      <w:pPr>
        <w:pStyle w:val="Heading2"/>
        <w:spacing w:after="80" w:before="180"/>
      </w:pPr>
      <w:r>
        <w:rPr>
          <w:rFonts w:ascii="Times New Roman" w:cs="Times New Roman" w:eastAsia="Times New Roman" w:hAnsi="Times New Roman"/>
          <w:b/>
          <w:bCs/>
          <w:color w:val="2E5496"/>
          <w:sz w:val="28"/>
          <w:szCs w:val="28"/>
        </w:rPr>
        <w:t xml:space="preserve">2.1 Healthcare Analytics Overview</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Healthcare analytics refers to the systematic use of data, statistical analysis, and predictive modeling to gain insights and support decision-making in healthcare organizations. The field has grown exponentially with the digitalization of health records, the proliferation of Electronic Health Record (EHR) systems, and the adoption of cloud computing and Business Intelligence platforms.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Researchers such as Kaplan and Harris-Salamone (2009) identified four levels of healthcare analytics: descriptive (what happened), diagnostic (why it happened), predictive (what will happen), and prescriptive (what should we do). RCM360 primarily operates at the descriptive and diagnostic levels, providing real-time snapshots of revenue cycle performance while surfacing patterns and anomalies that enable diagnostic analysis.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use of dashboards in healthcare has been widely studied. Dowding et al. (2015) found that clinical dashboards improved clinical decision support and reduced adverse events when properly implemented. In the administrative domain, BI dashboards have been shown to reduce reporting time by 40–60% compared to manual methods (Simpao et al., 2014).</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Healthcare analytics specifically applied to revenue cycle management has gained prominence as providers face increasing financial pressure from insurance denials, reimbursement complexity, and regulatory compliance requirements. The global healthcare analytics market was valued at approximately $29.8 billion in 2022 and is projected to exceed $84 billion by 2030, reflecting the strategic importance of data-driven decision making in healthcare financial operations.</w:t>
      </w:r>
    </w:p>
    <w:p>
      <w:pPr>
        <w:pStyle w:val="Heading2"/>
        <w:spacing w:after="80" w:before="180"/>
      </w:pPr>
      <w:r>
        <w:rPr>
          <w:rFonts w:ascii="Times New Roman" w:cs="Times New Roman" w:eastAsia="Times New Roman" w:hAnsi="Times New Roman"/>
          <w:b/>
          <w:bCs/>
          <w:color w:val="2E5496"/>
          <w:sz w:val="28"/>
          <w:szCs w:val="28"/>
        </w:rPr>
        <w:t xml:space="preserve">2.2 Revenue Cycle Management Concepts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Revenue Cycle Management (RCM) is the financial process that healthcare facilities use to track patient care episodes from registration and appointment scheduling to the final payment of a balance. The process encompasses several interconnected stages: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Patient Registration and Appointment Scheduling: Capturing patient demographics, insurance information, and appointment data. In RCM360, this corresponds to data sourced from the EPIC system.</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Clinical Documentation and Coding: Assigning appropriate diagnosis (ICD) and procedure (CPT) codes to clinical encounters. RCM360 tracks CPT code submission patterns through Office Ally data.</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Claims Submission: Electronically submitting claims to insurance payers. RCM360's Submission Report page provides comprehensive analysis of submission timelines, CPT usage, and unsubmitted claims.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Payment Posting and Reconciliation: Recording payments received from payers and patients against billed amounts. RCM360's Payment Report page tracks charge amounts, allowed amounts, line payments, and patient responsibility.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Denial Management: Identifying, appealing, and resolving claim denials. RCM360's payment status analysis surfaces denial patterns by payer.</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Key metrics in RCM include the Days in Accounts Receivable (AR), Net Collection Rate, Denial Rate, First Pass Rate, and Clean Claim Rate. RCM360 addresses several of these through its KPI framework, particularly through the 'Average Days to Bill' metric computed from the difference between service date and submission date.</w:t>
      </w:r>
    </w:p>
    <w:p>
      <w:pPr>
        <w:pStyle w:val="Heading2"/>
        <w:spacing w:after="80" w:before="180"/>
      </w:pPr>
      <w:r>
        <w:rPr>
          <w:rFonts w:ascii="Times New Roman" w:cs="Times New Roman" w:eastAsia="Times New Roman" w:hAnsi="Times New Roman"/>
          <w:b/>
          <w:bCs/>
          <w:color w:val="2E5496"/>
          <w:sz w:val="28"/>
          <w:szCs w:val="28"/>
        </w:rPr>
        <w:t xml:space="preserve">2.3 Existing Analytical Dashboards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Several commercial and open-source healthcare analytics platforms exist in the market, including:</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Tableau Healthcare Edition: Offers robust visualization capabilities with HIPAA-compliant cloud hosting. While powerful, it requires significant configuration for RCM-specific workflows and can be cost-prohibitive for smaller practices.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Qlik Sense for Healthcare: Provides associative data modelling and self-service analytics. Strong in clinical analytics but less purpose-built for revenue cycle workflows.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Epic Reporting Workbench: Native reporting within the EPIC EHR system. Useful for appointment analytics but limited in cross-system integration with billing and payment data.</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athenahealth Analytics: A cloud-based RCM platform that offers integrated analytics as part of its practice management suite. Effective but creates vendor lock-in.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Microsoft Power BI in Healthcare: Increasingly adopted for healthcare analytics due to its accessibility, DAX-based measure flexibility, and seamless integration with the Microsoft ecosystem.</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distinguishes itself from these platforms by providing a purpose-built, cross-system integration solution that connects EPIC, Office Ally, and ERA data in a single Power BI environment, with custom Python ETL automation that can be adapted to specific organizational data formats without requiring costly platform migrations.</w:t>
      </w:r>
    </w:p>
    <w:p>
      <w:pPr>
        <w:pStyle w:val="Heading2"/>
        <w:spacing w:after="80" w:before="180"/>
      </w:pPr>
      <w:r>
        <w:rPr>
          <w:rFonts w:ascii="Times New Roman" w:cs="Times New Roman" w:eastAsia="Times New Roman" w:hAnsi="Times New Roman"/>
          <w:b/>
          <w:bCs/>
          <w:color w:val="2E5496"/>
          <w:sz w:val="28"/>
          <w:szCs w:val="28"/>
        </w:rPr>
        <w:t xml:space="preserve">2.4 Gap Analysis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Despite the availability of commercial analytics platforms, significant gaps exist in the healthcare RCM analytics landscape for small-to-medium healthcare organizations: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Integration Complexity: Most commercial platforms require significant IT resources and custom integration work to connect heterogeneous data sources like EPIC, Office Ally, and ERA files.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Cost Barriers: Enterprise RCM analytics platforms are often priced beyond the reach of independent practices and smaller billing companies.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Customization Limitations: Pre-built commercial dashboards may not align with the specific KPI requirements, workflow patterns, or payer mix of individual organizations.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Real-time Unsubmitted Claim Detection: Few platforms provide automated, real-time detection of appointments with no corresponding claim submission – a key feature of RCM360's Submission Report.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Dynamic Measure Selection: The ability to switch between multiple metrics on the same visualization page without navigation is an advanced usability feature not commonly found in standard BI templates.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addresses these gaps by providing a cost-effective, customizable, and deeply integrated solution built on the widely available Microsoft Power BI platform, with open-source Python ETL scripts that can be adapted and maintained by organizations' internal IT teams.</w:t>
      </w:r>
    </w:p>
    <w:p>
      <w:pPr>
        <w:pStyle w:val="Heading1"/>
        <w:pageBreakBefore/>
        <w:spacing w:after="120" w:before="240"/>
      </w:pPr>
      <w:r>
        <w:rPr>
          <w:rFonts w:ascii="Times New Roman" w:cs="Times New Roman" w:eastAsia="Times New Roman" w:hAnsi="Times New Roman"/>
          <w:b/>
          <w:bCs/>
          <w:color w:val="1F3864"/>
          <w:sz w:val="32"/>
          <w:szCs w:val="32"/>
        </w:rPr>
        <w:t xml:space="preserve">CHAPTER 3: SYSTEM OVERVIEW</w:t>
      </w:r>
    </w:p>
    <w:p>
      <w:pPr>
        <w:pStyle w:val="Heading2"/>
        <w:spacing w:after="80" w:before="180"/>
      </w:pPr>
      <w:r>
        <w:rPr>
          <w:rFonts w:ascii="Times New Roman" w:cs="Times New Roman" w:eastAsia="Times New Roman" w:hAnsi="Times New Roman"/>
          <w:b/>
          <w:bCs/>
          <w:color w:val="2E5496"/>
          <w:sz w:val="28"/>
          <w:szCs w:val="28"/>
        </w:rPr>
        <w:t xml:space="preserve">3.1 Introduction to RCM360</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is a Power BI-based Healthcare Analytics Dashboard developed by IDS Infotech Ltd. It is designed to simplify healthcare billing and revenue cycle management by integrating data from appointments, claims submissions, and payments into one unified, real-time analytical platform. The name 'RCM360' reflects the system's comprehensive, 360-degree view of the revenue cycle – from appointment booking through to final payment reconciliation.</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dashboard automatically cleans, merges, and analyzes data from three core source systems – EPIC, Office Ally, and ERA – and presents results through five interactive dashboard pages and a rich set of KPIs accessible to providers, billing teams, finance, and administrative staff. RCM360 operates as a read-only analytical layer on top of existing operational systems, ensuring that it does not interfere with transactional workflows while providing comprehensive reporting capabilities.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system is deployed on Microsoft Power BI Service, enabling browser-based access from any device. Role-based access controls ensure that different user groups (providers, billing teams, finance managers, administrators) see only the data and reports relevant to their responsibilities. Scheduled data refresh capabilities ensure that the dashboard always reflects the most current available data from source systems.</w:t>
      </w:r>
    </w:p>
    <w:p>
      <w:pPr>
        <w:pStyle w:val="Heading2"/>
        <w:spacing w:after="80" w:before="180"/>
      </w:pPr>
      <w:r>
        <w:rPr>
          <w:rFonts w:ascii="Times New Roman" w:cs="Times New Roman" w:eastAsia="Times New Roman" w:hAnsi="Times New Roman"/>
          <w:b/>
          <w:bCs/>
          <w:color w:val="2E5496"/>
          <w:sz w:val="28"/>
          <w:szCs w:val="28"/>
        </w:rPr>
        <w:t xml:space="preserve">3.2 Challenges Addressed</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Before RCM360 was implemented, the healthcare organization faced the following challenges: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Manual Billing Reports: Billing teams managed multiple spreadsheets with no automation, consuming significant staff time and introducing data integrity risks.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Delayed Insights: No real-time visibility into appointment status, claim submission timelines, or payment collections, forcing management to rely on periodic manual reports that were often days or weeks out of date.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Scattered Data: Appointment data (EPIC), claim records (Office Ally), and payment remittance data (ERA) existed in separate disconnected systems with no automated cross-system reporting capability.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Revenue Cycle Inefficiencies: Difficulty identifying underpayments, claim denials, and unsubmitted claims meant that revenue leakage went undetected and uncollected.</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Reactive Decision-making: Teams could not proactively identify and address claim or payment issues before they escalated into significant revenue losses.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Provider Performance Blindspot: No systematic mechanism existed to benchmark individual provider performance on appointment management, billing contribution, or CPT submission rates.</w:t>
      </w:r>
    </w:p>
    <w:p>
      <w:pPr>
        <w:pStyle w:val="Heading2"/>
        <w:spacing w:after="80" w:before="180"/>
      </w:pPr>
      <w:r>
        <w:rPr>
          <w:rFonts w:ascii="Times New Roman" w:cs="Times New Roman" w:eastAsia="Times New Roman" w:hAnsi="Times New Roman"/>
          <w:b/>
          <w:bCs/>
          <w:color w:val="2E5496"/>
          <w:sz w:val="28"/>
          <w:szCs w:val="28"/>
        </w:rPr>
        <w:t xml:space="preserve">3.3 Benefits Delivered</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delivers the following measurable benefits to healthcare organizations:</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Benefit</w:t>
            </w:r>
          </w:p>
        </w:tc>
        <w:tc>
          <w:tcPr>
            <w:tcW w:type="dxa" w:w="70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Improved Efficiency</w:t>
            </w:r>
          </w:p>
        </w:tc>
        <w:tc>
          <w:tcPr>
            <w:tcW w:type="dxa" w:w="70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Automated data consolidation eliminated the need for billing teams to manage multiple spreadsheets, freeing staff time for higher-value activities.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Revenue Optimization</w:t>
            </w:r>
          </w:p>
        </w:tc>
        <w:tc>
          <w:tcPr>
            <w:tcW w:type="dxa" w:w="7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Early detection of underpayments and denials enhanced collections; visibility into payer performance supports contract renegotiations.</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Enhanced Accuracy</w:t>
            </w:r>
          </w:p>
        </w:tc>
        <w:tc>
          <w:tcPr>
            <w:tcW w:type="dxa" w:w="70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Cleaned, de-duplicated datasets minimized errors in claim submission and payment reconciliation.</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Faster Data Access</w:t>
            </w:r>
          </w:p>
        </w:tc>
        <w:tc>
          <w:tcPr>
            <w:tcW w:type="dxa" w:w="7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Real-time Power BI dashboards enabled evidence-based decisions within minutes of data refresh, versus days for manual reports.</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Audit-Ready Reporting</w:t>
            </w:r>
          </w:p>
        </w:tc>
        <w:tc>
          <w:tcPr>
            <w:tcW w:type="dxa" w:w="70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Clean, structured, and reproducible reporting supports billing reviews and regulatory compliance audits.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Proactive Denial Management</w:t>
            </w:r>
          </w:p>
        </w:tc>
        <w:tc>
          <w:tcPr>
            <w:tcW w:type="dxa" w:w="7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Payment status dashboards surface denial patterns by payer, enabling proactive resubmission before AR aging thresholds are breached.</w:t>
            </w:r>
          </w:p>
        </w:tc>
      </w:tr>
    </w:tbl>
    <w:p>
      <w:pPr>
        <w:pStyle w:val="Heading2"/>
        <w:spacing w:after="80" w:before="180"/>
      </w:pPr>
      <w:r>
        <w:rPr>
          <w:rFonts w:ascii="Times New Roman" w:cs="Times New Roman" w:eastAsia="Times New Roman" w:hAnsi="Times New Roman"/>
          <w:b/>
          <w:bCs/>
          <w:color w:val="2E5496"/>
          <w:sz w:val="28"/>
          <w:szCs w:val="28"/>
        </w:rPr>
        <w:t xml:space="preserve">3.4 Stakeholders &amp; End Users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is designed to serve multiple stakeholder groups within a healthcare organization:</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Providers (Physicians, Nurse Practitioners, PAs): Access to individual performance metrics including daily appointment volumes, patient seen rates, and billing contribution by CPT code.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Billing Teams: Primary users of the Submission Report and Payment Report pages. Monitor claim submission timelines, unsubmitted visits, CPT patterns, and payment collection rates.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Finance and Revenue Cycle Managers: Use the Payment Report to track revenue performance, payer behaviour, allowed amounts, and patient financial responsibility trends.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Administrative Staff: Use the Patient View and Appointment Report pages to monitor scheduling efficiency, slot utilization, cancellation patterns, and no-show rates.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Clinic Owners and Practice Managers: Use high-level KPI banners and trend charts to assess overall organizational performance and make strategic decisions.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solution is applicable to clinics and hospitals managing high appointment and claim volumes, independent medical practices seeking revenue cycle visibility, billing companies processing claims across multiple providers, and finance teams tracking outstanding balances and payer performance. RCM360 supports practices operating under Medicare, Medicaid, and private insurer contracts, and is designed for multi-location, multi-provider environments.</w:t>
      </w:r>
    </w:p>
    <w:p>
      <w:pPr>
        <w:pStyle w:val="Heading1"/>
        <w:pageBreakBefore/>
        <w:spacing w:after="120" w:before="240"/>
      </w:pPr>
      <w:r>
        <w:rPr>
          <w:rFonts w:ascii="Times New Roman" w:cs="Times New Roman" w:eastAsia="Times New Roman" w:hAnsi="Times New Roman"/>
          <w:b/>
          <w:bCs/>
          <w:color w:val="1F3864"/>
          <w:sz w:val="32"/>
          <w:szCs w:val="32"/>
        </w:rPr>
        <w:t xml:space="preserve">CHAPTER 4: TECHNOLOGY STACK</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is built on a carefully selected technology stack that balances analytical capability, integration flexibility, cost-effectiveness, and ease of deployment. Each component plays a specific role in the overall system architecture.</w:t>
      </w:r>
    </w:p>
    <w:p>
      <w:pPr>
        <w:pStyle w:val="Heading2"/>
        <w:spacing w:after="80" w:before="180"/>
      </w:pPr>
      <w:r>
        <w:rPr>
          <w:rFonts w:ascii="Times New Roman" w:cs="Times New Roman" w:eastAsia="Times New Roman" w:hAnsi="Times New Roman"/>
          <w:b/>
          <w:bCs/>
          <w:color w:val="2E5496"/>
          <w:sz w:val="28"/>
          <w:szCs w:val="28"/>
        </w:rPr>
        <w:t xml:space="preserve">4.1 Power BI</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Microsoft Power BI is the primary platform for data modelling, KPI computation, and report visualization in RCM360. Power BI Desktop is used for report development, while Power BI Service provides cloud-based publishing, access control, and scheduled data refresh.</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Key Power BI features utilized in RCM360 include: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 Model: Star schema design with appointment, submission, and payment tables as fact tables, connected through shared dimensions (patient, provider, date, payer).</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DAX (Data Analysis Expressions): Used to compute all KPIs including rates, averages, cumulative totals, time intelligence calculations, and custom conditional measures.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Dynamic Measure Selectors: Implemented using disconnected slicer tables and DAX SWITCH measures, enabling users to change the metric displayed on a chart without navigating to a different page.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Cross-page Filter Consistency: Year, month, provider, and location slicers maintain their selections across all five dashboard pages, providing a consistent analytical context.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Power BI Service: Enables role-based access control, scheduled refresh, and browser-based report sharing with stakeholders.</w:t>
      </w:r>
    </w:p>
    <w:p>
      <w:pPr>
        <w:pStyle w:val="Heading2"/>
        <w:spacing w:after="80" w:before="180"/>
      </w:pPr>
      <w:r>
        <w:rPr>
          <w:rFonts w:ascii="Times New Roman" w:cs="Times New Roman" w:eastAsia="Times New Roman" w:hAnsi="Times New Roman"/>
          <w:b/>
          <w:bCs/>
          <w:color w:val="2E5496"/>
          <w:sz w:val="28"/>
          <w:szCs w:val="28"/>
        </w:rPr>
        <w:t xml:space="preserve">4.2 EPIC System</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EPIC is a leading Electronic Health Record (EHR) and practice management system used by the healthcare organization as its primary appointment scheduling and patient management platform. In RCM360's data architecture, EPIC serves as the source system for all appointment-related data.</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EPIC provides daily automated export of appointment reports containing patient demographics, appointment dates, provider assignments, appointment status (Seen/Cancelled/No-Show), appointment type, clinic location, and slot utilization data. The Python ETL scripts process these EPIC exports through deduplication logic that ensures unique patient tracking across repeated export runs.</w:t>
      </w:r>
    </w:p>
    <w:p>
      <w:pPr>
        <w:pStyle w:val="Heading2"/>
        <w:spacing w:after="80" w:before="180"/>
      </w:pPr>
      <w:r>
        <w:rPr>
          <w:rFonts w:ascii="Times New Roman" w:cs="Times New Roman" w:eastAsia="Times New Roman" w:hAnsi="Times New Roman"/>
          <w:b/>
          <w:bCs/>
          <w:color w:val="2E5496"/>
          <w:sz w:val="28"/>
          <w:szCs w:val="28"/>
        </w:rPr>
        <w:t xml:space="preserve">4.3 Office Ally</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Office Ally is a healthcare IT company offering practice management and claims clearinghouse services. In RCM360, Office Ally serves as the source system for claims submission data.</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Office Ally provides submission reports containing CPT codes, submission dates, provider assignments, billable/non-billable flags, and visit-to-claim linking identifiers. A critical function of RCM360's ETL process is matching Office Ally submission records against EPIC appointment records to identify unsubmitted visits – appointments that have been seen by a provider but for which no claim has been submitted, representing direct revenue leakage.</w:t>
      </w:r>
    </w:p>
    <w:p>
      <w:pPr>
        <w:pStyle w:val="Heading2"/>
        <w:spacing w:after="80" w:before="180"/>
      </w:pPr>
      <w:r>
        <w:rPr>
          <w:rFonts w:ascii="Times New Roman" w:cs="Times New Roman" w:eastAsia="Times New Roman" w:hAnsi="Times New Roman"/>
          <w:b/>
          <w:bCs/>
          <w:color w:val="2E5496"/>
          <w:sz w:val="28"/>
          <w:szCs w:val="28"/>
        </w:rPr>
        <w:t xml:space="preserve">4.4 ERA Reports (Electronic Remittance Advice)</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Electronic Remittance Advice (ERA) files, also known as 835 transaction files in the HIPAA EDI standard, are the electronic payment explanation documents generated by insurance payers when claims are adjudicated. ERAs contain detailed information about which claims were paid, how much was allowed, how much was paid, what patient responsibility remains, and what the reason code is for any adjustments or denials.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In RCM360, ERA files from various payers are auto-parsed by Python scripts into clean, structured datasets containing charge amounts, allowed amounts, line payment amounts, patient responsibility, payer names, payment status codes, and payment dates. This transformed data forms the foundation of the Payment Report dashboard page.</w:t>
      </w:r>
    </w:p>
    <w:p>
      <w:pPr>
        <w:pStyle w:val="Heading2"/>
        <w:spacing w:after="80" w:before="180"/>
      </w:pPr>
      <w:r>
        <w:rPr>
          <w:rFonts w:ascii="Times New Roman" w:cs="Times New Roman" w:eastAsia="Times New Roman" w:hAnsi="Times New Roman"/>
          <w:b/>
          <w:bCs/>
          <w:color w:val="2E5496"/>
          <w:sz w:val="28"/>
          <w:szCs w:val="28"/>
        </w:rPr>
        <w:t xml:space="preserve">4.5 Python ETL Scripts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Python serves as the ETL (Extract, Transform, Load) engine for RCM360. Custom Python scripts automate the entire data pipeline from source file extraction through to Power BI model loading. Key ETL operations include:</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 Extraction: Reading EPIC appointment exports, Office Ally submission exports, and ERA payment files from designated file directories or SFTP locations.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 Cleaning: Standardizing date formats, normalizing provider name formats (critical for cross-system matching), handling null values, and correcting data type inconsistencies.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Deduplication: Identifying and removing duplicate appointment records that may arise from multiple EPIC export runs covering overlapping date ranges. Unique patient tracking ensures accurate patient-level KPIs.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Visit-to-Claim Matching: Joining appointment records (EPIC) with submission records (Office Ally) on shared keys (patient, service date, provider) to flag unsubmitted visits.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ERA Parsing: Parsing electronic remittance files into relational table structures suitable for Power BI data modelling.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 Loading: Saving transformed datasets to the Power BI data source format for model refresh.</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68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 in RCM360</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Power BI Desktop</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Interactive dashboard development, DAX measures, data modelling, and report design</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Power BI Service</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Cloud publishing, role-based access control, scheduled refresh, and browser-based report access</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EPIC</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Source system for appointment reports – daily automated integration with deduplication</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Office Ally</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Source system for submission reports – visit-to-claim matching to flag unsubmitted claims</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ERA Reports</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Source system for payment data – auto-parsed into clean datasets for payment analysis</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Python ETL Scripts</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Automated data extraction, transformation, deduplication, merging, and loading into Power BI model</w:t>
            </w:r>
          </w:p>
        </w:tc>
      </w:tr>
    </w:tbl>
    <w:p>
      <w:pPr>
        <w:pStyle w:val="Heading1"/>
        <w:pageBreakBefore/>
        <w:spacing w:after="120" w:before="240"/>
      </w:pPr>
      <w:r>
        <w:rPr>
          <w:rFonts w:ascii="Times New Roman" w:cs="Times New Roman" w:eastAsia="Times New Roman" w:hAnsi="Times New Roman"/>
          <w:b/>
          <w:bCs/>
          <w:color w:val="1F3864"/>
          <w:sz w:val="32"/>
          <w:szCs w:val="32"/>
        </w:rPr>
        <w:t xml:space="preserve">CHAPTER 5: SYSTEM ARCHITECTURE</w:t>
      </w:r>
    </w:p>
    <w:p>
      <w:pPr>
        <w:pStyle w:val="Heading2"/>
        <w:spacing w:after="80" w:before="180"/>
      </w:pPr>
      <w:r>
        <w:rPr>
          <w:rFonts w:ascii="Times New Roman" w:cs="Times New Roman" w:eastAsia="Times New Roman" w:hAnsi="Times New Roman"/>
          <w:b/>
          <w:bCs/>
          <w:color w:val="2E5496"/>
          <w:sz w:val="28"/>
          <w:szCs w:val="28"/>
        </w:rPr>
        <w:t xml:space="preserve">5.1 Architecture Layers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is organized into a multi-layered architecture that separates concerns across data sourcing, transformation, modelling, and presentation. Each layer has specific responsibilities and technologies.</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Layer</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System / Tool</w:t>
            </w:r>
          </w:p>
        </w:tc>
        <w:tc>
          <w:tcPr>
            <w:tcW w:type="dxa" w:w="50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Data Source – Appointments</w:t>
            </w:r>
          </w:p>
        </w:tc>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EPIC</w:t>
            </w:r>
          </w:p>
        </w:tc>
        <w:tc>
          <w:tcPr>
            <w:tcW w:type="dxa" w:w="50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Daily automated export of appointment reports; deduplication ensures unique patient tracking</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Data Source – Submissions</w:t>
            </w:r>
          </w:p>
        </w:tc>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Office Ally</w:t>
            </w:r>
          </w:p>
        </w:tc>
        <w:tc>
          <w:tcPr>
            <w:tcW w:type="dxa" w:w="50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reports matched against appointments to flag missing or unsubmitted claims</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Data Source – Payments</w:t>
            </w:r>
          </w:p>
        </w:tc>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ERA Reports</w:t>
            </w:r>
          </w:p>
        </w:tc>
        <w:tc>
          <w:tcPr>
            <w:tcW w:type="dxa" w:w="50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ERA files auto-parsed into clean, structured datasets for payment analysis</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ETL / Transformation</w:t>
            </w:r>
          </w:p>
        </w:tc>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Python Scripts</w:t>
            </w:r>
          </w:p>
        </w:tc>
        <w:tc>
          <w:tcPr>
            <w:tcW w:type="dxa" w:w="50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Automated extraction, cleaning, deduplication, merging, and loading into Power BI model</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Data Modelling</w:t>
            </w:r>
          </w:p>
        </w:tc>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Power BI Desktop</w:t>
            </w:r>
          </w:p>
        </w:tc>
        <w:tc>
          <w:tcPr>
            <w:tcW w:type="dxa" w:w="50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Relationships between appointment, submission, and payment tables; star schema design</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Business Logic</w:t>
            </w:r>
          </w:p>
        </w:tc>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DAX Measures</w:t>
            </w:r>
          </w:p>
        </w:tc>
        <w:tc>
          <w:tcPr>
            <w:tcW w:type="dxa" w:w="50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KPI computation – rates, averages, totals, time intelligence, running counts</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Visualization</w:t>
            </w:r>
          </w:p>
        </w:tc>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Power BI Service</w:t>
            </w:r>
          </w:p>
        </w:tc>
        <w:tc>
          <w:tcPr>
            <w:tcW w:type="dxa" w:w="50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5-tab interactive dashboard with dynamic Measure Selectors and cross-page filter consistency</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Data Security</w:t>
            </w:r>
          </w:p>
        </w:tc>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Secure Cloud Handling</w:t>
            </w:r>
          </w:p>
        </w:tc>
        <w:tc>
          <w:tcPr>
            <w:tcW w:type="dxa" w:w="50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Encrypted storage and transfer; patient data handled in compliance with healthcare data standards</w:t>
            </w:r>
          </w:p>
        </w:tc>
      </w:tr>
    </w:tbl>
    <w:p>
      <w:pPr>
        <w:pStyle w:val="Heading2"/>
        <w:spacing w:after="80" w:before="180"/>
      </w:pPr>
      <w:r>
        <w:rPr>
          <w:rFonts w:ascii="Times New Roman" w:cs="Times New Roman" w:eastAsia="Times New Roman" w:hAnsi="Times New Roman"/>
          <w:b/>
          <w:bCs/>
          <w:color w:val="2E5496"/>
          <w:sz w:val="28"/>
          <w:szCs w:val="28"/>
        </w:rPr>
        <w:t xml:space="preserve">5.2 Data Sources Overview</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Three distinct source systems provide the raw data for RCM360. Each system serves a different domain of the revenue cycle:</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Source System</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Module</w:t>
            </w:r>
          </w:p>
        </w:tc>
        <w:tc>
          <w:tcPr>
            <w:tcW w:type="dxa" w:w="50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What It Provides</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EPIC</w:t>
            </w:r>
          </w:p>
        </w:tc>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Appointment Insights</w:t>
            </w:r>
          </w:p>
        </w:tc>
        <w:tc>
          <w:tcPr>
            <w:tcW w:type="dxa" w:w="50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Patient demographics, appointment dates, providers, status (Seen/Cancelled/No-Show), appointment type, location, slot data</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Office Ally</w:t>
            </w:r>
          </w:p>
        </w:tc>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Insights</w:t>
            </w:r>
          </w:p>
        </w:tc>
        <w:tc>
          <w:tcPr>
            <w:tcW w:type="dxa" w:w="50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CPT codes, submission dates, provider assignments, billable/non-billable flags, visit-to-claim linking</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ERA (Electronic Remittance Advice)</w:t>
            </w:r>
          </w:p>
        </w:tc>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Payment Insights</w:t>
            </w:r>
          </w:p>
        </w:tc>
        <w:tc>
          <w:tcPr>
            <w:tcW w:type="dxa" w:w="50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Charge amounts, allowed amounts, line payment amounts, patient responsibility, payer names, payment status, denial codes</w:t>
            </w:r>
          </w:p>
        </w:tc>
      </w:tr>
    </w:tbl>
    <w:p>
      <w:pPr>
        <w:pStyle w:val="Heading2"/>
        <w:spacing w:after="80" w:before="180"/>
      </w:pPr>
      <w:r>
        <w:rPr>
          <w:rFonts w:ascii="Times New Roman" w:cs="Times New Roman" w:eastAsia="Times New Roman" w:hAnsi="Times New Roman"/>
          <w:b/>
          <w:bCs/>
          <w:color w:val="2E5496"/>
          <w:sz w:val="28"/>
          <w:szCs w:val="28"/>
        </w:rPr>
        <w:t xml:space="preserve">5.3 Data Flow Process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end-to-end data flow in RCM360 follows a structured sequence from source system export to end-user dashboard interaction:</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Step 1 – EPIC Export: EPIC exports daily appointment data files containing all appointments within the reporting period.</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Step 2 – ETL Processing – Appointments: Python ETL scripts read EPIC appointment exports, apply deduplication logic based on patient ID and service date, clean data types and provider name formatting, and prepare the appointment dataset.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Step 3 – Office Ally Matching: Office Ally submission exports are matched against appointment records using patient name and service date as join keys. Appointments with no matching submission record are flagged as 'Unsubmitted Visits'.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Step 4 – ERA Parsing: ERA payment files are parsed by Python scripts, extracting CPT-level payment details, payer information, charge amounts, allowed amounts, and payment status codes into structured tabular format.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Step 5 – Data Loading: All three transformed datasets (appointments, submissions, payments) are loaded into the Power BI data model, which establishes relationships between tables through shared dimensions.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Step 6 – DAX Computation: DAX measures compute all KPIs dynamically based on filter context established by user slicer selections.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Step 7 – Report Publication: Power BI Service publishes the completed report for end-user access via browser or Power BI app.</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Step 8 – Scheduled Refresh: Automated refresh triggers on a configured schedule (daily or per data availability), ensuring the dashboard always reflects current data.</w:t>
      </w:r>
    </w:p>
    <w:p>
      <w:pPr>
        <w:pStyle w:val="Heading2"/>
        <w:spacing w:after="80" w:before="180"/>
      </w:pPr>
      <w:r>
        <w:rPr>
          <w:rFonts w:ascii="Times New Roman" w:cs="Times New Roman" w:eastAsia="Times New Roman" w:hAnsi="Times New Roman"/>
          <w:b/>
          <w:bCs/>
          <w:color w:val="2E5496"/>
          <w:sz w:val="28"/>
          <w:szCs w:val="28"/>
        </w:rPr>
        <w:t xml:space="preserve">5.4 Data Security &amp; Compliance</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Healthcare data security is of paramount importance. RCM360 implements the following security and compliance measures: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Encrypted Data Transfer: All data transfers between source systems, ETL processing environments, and Power BI Service are conducted over encrypted channels (HTTPS/TLS).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Role-Based Access Control (RBAC): Power BI Service implements row-level security (RLS) and workspace-level access controls to ensure each user group sees only the data relevant to their role.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 Masking and Anonymization: Patient identifiers are handled with appropriate care; reports can be configured to mask sensitive patient data for users without clinical data access rights.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Audit Logging: Power BI Service maintains access and activity logs, supporting compliance audits and security reviews.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Healthcare Data Standards Compliance: Data handling practices are aligned with applicable healthcare data privacy regulations, including HIPAA requirements for data security and minimum necessary access.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Confidentiality Classification: All RCM360 reports are classified as 'Confidential – Internal Use Only', as indicated in the original KT documentation.</w:t>
      </w:r>
    </w:p>
    <w:p>
      <w:pPr>
        <w:pStyle w:val="Heading1"/>
        <w:pageBreakBefore/>
        <w:spacing w:after="120" w:before="240"/>
      </w:pPr>
      <w:r>
        <w:rPr>
          <w:rFonts w:ascii="Times New Roman" w:cs="Times New Roman" w:eastAsia="Times New Roman" w:hAnsi="Times New Roman"/>
          <w:b/>
          <w:bCs/>
          <w:color w:val="1F3864"/>
          <w:sz w:val="32"/>
          <w:szCs w:val="32"/>
        </w:rPr>
        <w:t xml:space="preserve">CHAPTER 6: DASHBOARD WALKTHROUGH</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consists of five interactive dashboard pages accessible via a top navigation bar: Patient View, Patient Description, Appointment Report, Submission Report, and Payment Report. Each page is designed for a specific analytical purpose and serves distinct user needs.</w:t>
      </w:r>
    </w:p>
    <w:p>
      <w:pPr>
        <w:pStyle w:val="Heading2"/>
        <w:spacing w:after="80" w:before="180"/>
      </w:pPr>
      <w:r>
        <w:rPr>
          <w:rFonts w:ascii="Times New Roman" w:cs="Times New Roman" w:eastAsia="Times New Roman" w:hAnsi="Times New Roman"/>
          <w:b/>
          <w:bCs/>
          <w:color w:val="2E5496"/>
          <w:sz w:val="28"/>
          <w:szCs w:val="28"/>
        </w:rPr>
        <w:t xml:space="preserve">6.1 Patient View</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Patient View page serves as the homepage of the RCM360 dashboard, providing a top-level snapshot of patient appointment activity including cancellation rates, no-show rates, seen rates, slot utilization, and patient demographics by age group.</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A persistent KPI banner at the top of the page displays the following metrics with sample values:</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KPI</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Sample Value</w:t>
            </w:r>
          </w:p>
        </w:tc>
        <w:tc>
          <w:tcPr>
            <w:tcW w:type="dxa" w:w="52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Sub-metrics</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Total Appointment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9,999</w:t>
            </w:r>
          </w:p>
        </w:tc>
        <w:tc>
          <w:tcPr>
            <w:tcW w:type="dxa" w:w="52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Count of all appointment records in selected period</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Cancelled</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44%</w:t>
            </w:r>
          </w:p>
        </w:tc>
        <w:tc>
          <w:tcPr>
            <w:tcW w:type="dxa" w:w="52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Cancelled patient: 4,395K | Can% by patient: 54.2% | Can% by provider: 15.7%</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No-Show</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6.38%</w:t>
            </w:r>
          </w:p>
        </w:tc>
        <w:tc>
          <w:tcPr>
            <w:tcW w:type="dxa" w:w="52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No-Show patient: 638</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Seen</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50%</w:t>
            </w:r>
          </w:p>
        </w:tc>
        <w:tc>
          <w:tcPr>
            <w:tcW w:type="dxa" w:w="52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Patient Seen: 4,966 | Patient Seen/day: 28.06</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Avg Appointment per day</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56</w:t>
            </w:r>
          </w:p>
        </w:tc>
        <w:tc>
          <w:tcPr>
            <w:tcW w:type="dxa" w:w="52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Total Appointments / Count of distinct Service Dates</w:t>
            </w:r>
          </w:p>
        </w:tc>
      </w:tr>
    </w:tbl>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visual components of the Patient View page include: a horizontal bar chart showing patient volume breakdown by age group (60-79, 40-59, 20-39, 80-99, 0-19, 100+); an area chart showing slot utilization trend by quarter (Q1: 26%, Q2: 33%, Q3: 27%, Q4: 28%); an appointment detail table showing individual cancelled appointment records; and a patient summary table providing patient-level performance aggregations.</w:t>
      </w:r>
    </w:p>
    <w:p>
      <w:pPr>
        <w:pStyle w:val="Heading2"/>
        <w:spacing w:after="80" w:before="180"/>
      </w:pPr>
      <w:r>
        <w:rPr>
          <w:rFonts w:ascii="Times New Roman" w:cs="Times New Roman" w:eastAsia="Times New Roman" w:hAnsi="Times New Roman"/>
          <w:b/>
          <w:bCs/>
          <w:color w:val="2E5496"/>
          <w:sz w:val="28"/>
          <w:szCs w:val="28"/>
        </w:rPr>
        <w:t xml:space="preserve">6.2 Patient Description</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Patient Description page enables drill-down into individual appointment detail, allowing users to filter by date, status, and provider to examine specific appointments. It complements Patient View with a fuller appointment record view and yearly performance trend.</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Key visuals on this page include an Appointment Description Table providing the full appointment record (Patient Name, DOB, Service Date, Provider, Status, Type, Notes/Reason), an area chart showing average yearly patients seen from 2021 (461 patients) to 2022 (4,505 patients) demonstrating significant growth, and an Appointment Summary Table providing patient-level performance aggregations.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Additional filters on this page (beyond the standard banner filters) include appointment Status (Can/No Show/Seen), specific Date selection, and Provider selection.</w:t>
      </w:r>
    </w:p>
    <w:p>
      <w:pPr>
        <w:pStyle w:val="Heading2"/>
        <w:spacing w:after="80" w:before="180"/>
      </w:pPr>
      <w:r>
        <w:rPr>
          <w:rFonts w:ascii="Times New Roman" w:cs="Times New Roman" w:eastAsia="Times New Roman" w:hAnsi="Times New Roman"/>
          <w:b/>
          <w:bCs/>
          <w:color w:val="2E5496"/>
          <w:sz w:val="28"/>
          <w:szCs w:val="28"/>
        </w:rPr>
        <w:t xml:space="preserve">6.3 Appointment Report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Appointment Report page focuses on provider and location-level performance analysis. It shows how appointments are distributed by provider, month, appointment type, and clinic location, and is the only page that adds a Slot Utilization KPI to the standard persistent banner.</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extended KPI banner on this page adds the Slot Utilization metric: Total slot used: 6K, Total slot available: 40K, Unutilized slots: 34K, resulting in a slot utilization rate of 14.62%. This metric is critical for understanding scheduling efficiency and identifying capacity optimization opportunities.</w:t>
      </w:r>
    </w:p>
    <w:p>
      <w:pPr>
        <w:pStyle w:val="Heading2"/>
        <w:spacing w:after="80" w:before="180"/>
      </w:pPr>
      <w:r>
        <w:rPr>
          <w:rFonts w:ascii="Times New Roman" w:cs="Times New Roman" w:eastAsia="Times New Roman" w:hAnsi="Times New Roman"/>
          <w:b/>
          <w:bCs/>
          <w:color w:val="2E5496"/>
          <w:sz w:val="28"/>
          <w:szCs w:val="28"/>
        </w:rPr>
        <w:t xml:space="preserve">6.4 Submission Report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Submission Report page is the primary tool for billing teams, providing comprehensive analysis of CPT code submissions, billing timeliness, and unsubmitted claim detection. The page features a unique toggle button that switches between two views: 'Submission Trend' (default) and 'Unsubmitted Data'.</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In Submission Trend view, users can see year-wise CPT submission trends, CPT code frequency analysis, and provider-level submission distribution. The KPI banner for this page includes Average Days to Bill (submission timeliness metric), Total CPT Submissions, Non-Billable CPTs, and CPT Submitted per Visit ratio.</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Unsubmitted Data view is a critical revenue protection feature – it switches the page to display a detail table of all appointments from EPIC that have no corresponding claim submission in Office Ally, enabling billing teams to identify and follow up on revenue leakage proactively.</w:t>
      </w:r>
    </w:p>
    <w:p>
      <w:pPr>
        <w:pStyle w:val="Heading2"/>
        <w:spacing w:after="80" w:before="180"/>
      </w:pPr>
      <w:r>
        <w:rPr>
          <w:rFonts w:ascii="Times New Roman" w:cs="Times New Roman" w:eastAsia="Times New Roman" w:hAnsi="Times New Roman"/>
          <w:b/>
          <w:bCs/>
          <w:color w:val="2E5496"/>
          <w:sz w:val="28"/>
          <w:szCs w:val="28"/>
        </w:rPr>
        <w:t xml:space="preserve">6.5 Payment Report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Payment Report page provides comprehensive analysis of payment performance, payer behaviour, and revenue collection. Key KPIs on this page include Total Charge Amount ($250,103.07), Total Allowed Amount ($452.23K), Total Line Payment Amount ($373.2K), and Total Patient Responsibility ($95.81K).</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Visual components include: a bar chart showing Total Line Payment by Payer (Top payer: Brown and Toland Physicians at $179,117; Medicare Service Center at $63,463; Hill Physicians Medical Group at $55,998); an area chart showing Allowed Amount by Year trend; a CPT vs Allowed Amount table for procedure-level revenue analysis; a Payer vs Allowed Amount table for insurer-level performance benchmarking; and a donut chart showing payment status distribution (Processed as Primary: 85.42%, Processed as Primary FWDED: 11.11%, Processed as Secondary: 1.91%, Denied and others: remaining percentage).</w:t>
      </w:r>
    </w:p>
    <w:p>
      <w:pPr>
        <w:pStyle w:val="Heading1"/>
        <w:pageBreakBefore/>
        <w:spacing w:after="120" w:before="240"/>
      </w:pPr>
      <w:r>
        <w:rPr>
          <w:rFonts w:ascii="Times New Roman" w:cs="Times New Roman" w:eastAsia="Times New Roman" w:hAnsi="Times New Roman"/>
          <w:b/>
          <w:bCs/>
          <w:color w:val="1F3864"/>
          <w:sz w:val="32"/>
          <w:szCs w:val="32"/>
        </w:rPr>
        <w:t xml:space="preserve">CHAPTER 7: KPIs &amp; BUSINESS INSIGHTS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tracks over 30 Key Performance Indicators organized into six categories, each serving a distinct business purpose in revenue cycle management.</w:t>
      </w:r>
    </w:p>
    <w:p>
      <w:pPr>
        <w:pStyle w:val="Heading2"/>
        <w:spacing w:after="80" w:before="180"/>
      </w:pPr>
      <w:r>
        <w:rPr>
          <w:rFonts w:ascii="Times New Roman" w:cs="Times New Roman" w:eastAsia="Times New Roman" w:hAnsi="Times New Roman"/>
          <w:b/>
          <w:bCs/>
          <w:color w:val="2E5496"/>
          <w:sz w:val="28"/>
          <w:szCs w:val="28"/>
        </w:rPr>
        <w:t xml:space="preserve">7.1 Appointment KPIs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Appointment KPIs measure scheduling efficiency and clinic capacity utilization: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Total Appointments: Absolute count of all appointment records in the selected period. Serves as the denominator for all rate-based appointment KPIs.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Cancellation Rate: Percentage of appointments cancelled (Status = 'Can'). At 44% in the sample data, this is a critical metric indicating potential scheduling inefficiency or patient engagement issues.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No-Show Rate: Percentage of appointments where the patient did not attend (Status = 'No Show'). At 6.38%, this represents both revenue loss and wasted clinical capacity.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Patient Seen %: Percentage of appointments resulting in a seen patient (Status = 'Seen' or 'Comp'). At 50%, this indicates that half of all scheduled appointments result in a clinical encounter.</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Average Appointments per Day: Total appointments divided by distinct service dates. At 56 per day, this benchmarks daily clinic throughput.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Slot Utilization: Total Slot Used / Total Slot Available. At 14.62%, this reveals that only 14.62% of available scheduling capacity is being utilized, suggesting significant opportunity to increase appointment bookings.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Unutilized Slots: Total Available Slots minus Total Used Slots. At 34,000 unutilized slots, this quantifies the absolute capacity waste.</w:t>
      </w:r>
    </w:p>
    <w:p>
      <w:pPr>
        <w:pStyle w:val="Heading2"/>
        <w:spacing w:after="80" w:before="180"/>
      </w:pPr>
      <w:r>
        <w:rPr>
          <w:rFonts w:ascii="Times New Roman" w:cs="Times New Roman" w:eastAsia="Times New Roman" w:hAnsi="Times New Roman"/>
          <w:b/>
          <w:bCs/>
          <w:color w:val="2E5496"/>
          <w:sz w:val="28"/>
          <w:szCs w:val="28"/>
        </w:rPr>
        <w:t xml:space="preserve">7.2 Submission KPIs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Submission KPIs monitor billing timeliness and claim completeness: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Average Days to Bill: Average number of days between Service Date and Submission Date. A lower number indicates faster billing cycles, which improves cash flow and reduces the risk of claim filing deadline violations.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Total CPT Submissions: Count of all CPT code records submitted. Provides a measure of billing volume.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Non-Billable CPTs: Count of CPT codes flagged as Non-Billable. These represent services rendered that cannot be billed to insurance, impacting net revenue.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CPT/Visit Ratio: Total CPT Submissions divided by Total Submitted Visits. A higher ratio indicates that multiple services are being billed per encounter, which is expected for complex visits.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Submitted Visits: Count of distinct appointment visits with at least one corresponding CPT submission in Office Ally.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Unsubmitted Visits: Appointments from EPIC with no matching submission in Office Ally. Each unsubmitted visit represents a missed billing opportunity.</w:t>
      </w:r>
    </w:p>
    <w:p>
      <w:pPr>
        <w:pStyle w:val="Heading2"/>
        <w:spacing w:after="80" w:before="180"/>
      </w:pPr>
      <w:r>
        <w:rPr>
          <w:rFonts w:ascii="Times New Roman" w:cs="Times New Roman" w:eastAsia="Times New Roman" w:hAnsi="Times New Roman"/>
          <w:b/>
          <w:bCs/>
          <w:color w:val="2E5496"/>
          <w:sz w:val="28"/>
          <w:szCs w:val="28"/>
        </w:rPr>
        <w:t xml:space="preserve">7.3 Payment KPIs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Payment KPIs track the financial outcomes of the revenue cycle: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Total Charge Amount: Gross billed amount before any contractual adjustments. Represents the maximum potential revenue.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Total Allowed Amount: Contract-agreed amount the payer will cover. The difference between Charge Amount and Allowed Amount represents the contractual write-off.</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Total Line Payment Amount: Actual payments received from payers. At $373.2K against $452.23K allowed, the payment percentage indicates collection efficiency.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 Payment Amount: Line Payment Amount as a percentage of Total Allowed Amount (79.57% in sample data). Values below 100% indicate outstanding balances requiring follow-up.</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Total Patient Responsibility: Amount owed by patients (deductible, co-pay, co-insurance). At $95.81K, effective patient collections processes are critical.</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 Patient Responsibility: Patient Responsibility as a percentage of Total Allowed Amount (20.43%). This ratio helps benchmark patient financial responsibility relative to total allowed revenue.</w:t>
      </w:r>
    </w:p>
    <w:p>
      <w:pPr>
        <w:pStyle w:val="Heading2"/>
        <w:spacing w:after="80" w:before="180"/>
      </w:pPr>
      <w:r>
        <w:rPr>
          <w:rFonts w:ascii="Times New Roman" w:cs="Times New Roman" w:eastAsia="Times New Roman" w:hAnsi="Times New Roman"/>
          <w:b/>
          <w:bCs/>
          <w:color w:val="2E5496"/>
          <w:sz w:val="28"/>
          <w:szCs w:val="28"/>
        </w:rPr>
        <w:t xml:space="preserve">7.4 Payer Analysis KPIs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Payer Analysis KPIs enable benchmarking of insurer payment behaviour:</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Line Payment by Payer: Total payments received from each insurance company, enabling comparison of payer payment performance.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Allowed Amount by Payer: Total allowed amounts by payer, supporting contract negotiation by identifying which payers offer the most favourable reimbursement rates.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Payment Status Distribution: Breakdown of claims by payment status (Processed as Primary, Processed as Secondary, Denied, Forwarded, etc.), revealing denial patterns and coordination of benefits issues by payer.</w:t>
      </w:r>
    </w:p>
    <w:p>
      <w:pPr>
        <w:pStyle w:val="Heading2"/>
        <w:spacing w:after="80" w:before="180"/>
      </w:pPr>
      <w:r>
        <w:rPr>
          <w:rFonts w:ascii="Times New Roman" w:cs="Times New Roman" w:eastAsia="Times New Roman" w:hAnsi="Times New Roman"/>
          <w:b/>
          <w:bCs/>
          <w:color w:val="2E5496"/>
          <w:sz w:val="28"/>
          <w:szCs w:val="28"/>
        </w:rPr>
        <w:t xml:space="preserve">7.5 Provider Performance KPIs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Provider Performance KPIs benchmark individual clinical staff productivity: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CPT Submissions by Provider: Total CPT codes submitted per provider, measuring individual billing contribution.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Avg Appointments per Day by Provider: Daily appointment volume by individual provider, enabling workload benchmarking and capacity planning.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Patient Seen by Provider: Number of patients seen by each provider, supporting provider-level performance reviews and compensation calculations.</w:t>
      </w:r>
    </w:p>
    <w:p>
      <w:pPr>
        <w:pStyle w:val="Heading2"/>
        <w:spacing w:after="80" w:before="180"/>
      </w:pPr>
      <w:r>
        <w:rPr>
          <w:rFonts w:ascii="Times New Roman" w:cs="Times New Roman" w:eastAsia="Times New Roman" w:hAnsi="Times New Roman"/>
          <w:b/>
          <w:bCs/>
          <w:color w:val="2E5496"/>
          <w:sz w:val="28"/>
          <w:szCs w:val="28"/>
        </w:rPr>
        <w:t xml:space="preserve">7.6 Trend KPIs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Trend KPIs identify temporal patterns and seasonality: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Submission Trend by Year: Year-over-year CPT submission volume, identifying billing growth or contraction trends.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Allowed Amount by Year: Annual allowed amount trend, enabling revenue growth analysis.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Avg Patients Seen by Year/Month/Quarter: Multi-granularity patient volume trending, supporting forecasting and resource planning.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Slot Utilization by Quarter: Quarterly trend of scheduling efficiency, helping identify seasonal patterns in capacity utilization.</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KPI Category</w:t>
            </w:r>
          </w:p>
        </w:tc>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KPIs</w:t>
            </w:r>
          </w:p>
        </w:tc>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Business Purpose</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Appointment KPIs</w:t>
            </w:r>
          </w:p>
        </w:tc>
        <w:tc>
          <w:tcPr>
            <w:tcW w:type="dxa" w:w="36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Total appointments, Cancellation rate, No-show rate, Patient Seen %, Avg appts/day, Slot utilization</w:t>
            </w:r>
          </w:p>
        </w:tc>
        <w:tc>
          <w:tcPr>
            <w:tcW w:type="dxa" w:w="36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Tracks scheduling efficiency, clinic capacity usage, and provider workload</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KPIs</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Avg days to bill, Total CPT submissions, Non-billable CPTs, CPT/visit ratio, Unsubmitted visits</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Monitors billing timeliness, CPT usage patterns, and identifies revenue leakage</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Payment KPIs</w:t>
            </w:r>
          </w:p>
        </w:tc>
        <w:tc>
          <w:tcPr>
            <w:tcW w:type="dxa" w:w="36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Total charge amount, Total allowed amount, Total line payment, % payment, Total patient responsibility</w:t>
            </w:r>
          </w:p>
        </w:tc>
        <w:tc>
          <w:tcPr>
            <w:tcW w:type="dxa" w:w="36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Tracks revenue cycle completeness – what was billed, allowed, collected, and outstanding</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Payer Analysis KPIs</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Line payment by payer, Allowed amount by payer, Payment status distribution</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Evaluates insurer payment behaviour for contract negotiations and denial management</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Provider Performance KPIs</w:t>
            </w:r>
          </w:p>
        </w:tc>
        <w:tc>
          <w:tcPr>
            <w:tcW w:type="dxa" w:w="36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CPT submissions by provider, Avg appts/day by provider, Patient seen by provider</w:t>
            </w:r>
          </w:p>
        </w:tc>
        <w:tc>
          <w:tcPr>
            <w:tcW w:type="dxa" w:w="36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Benchmarks individual provider productivity and billing contribution</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Trend KPIs</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trend by year, Allowed amount by year, Avg patients seen by year/month/quarter</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Identifies growth patterns, seasonality, and operational changes over time</w:t>
            </w:r>
          </w:p>
        </w:tc>
      </w:tr>
    </w:tbl>
    <w:p>
      <w:pPr>
        <w:pStyle w:val="Heading1"/>
        <w:pageBreakBefore/>
        <w:spacing w:after="120" w:before="240"/>
      </w:pPr>
      <w:r>
        <w:rPr>
          <w:rFonts w:ascii="Times New Roman" w:cs="Times New Roman" w:eastAsia="Times New Roman" w:hAnsi="Times New Roman"/>
          <w:b/>
          <w:bCs/>
          <w:color w:val="1F3864"/>
          <w:sz w:val="32"/>
          <w:szCs w:val="32"/>
        </w:rPr>
        <w:t xml:space="preserve">CHAPTER 8: DATA DICTIONARY</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Data Dictionary provides a comprehensive reference for all fields in the three primary datasets used by RCM360.</w:t>
      </w:r>
    </w:p>
    <w:p>
      <w:pPr>
        <w:pStyle w:val="Heading2"/>
        <w:spacing w:after="80" w:before="180"/>
      </w:pPr>
      <w:r>
        <w:rPr>
          <w:rFonts w:ascii="Times New Roman" w:cs="Times New Roman" w:eastAsia="Times New Roman" w:hAnsi="Times New Roman"/>
          <w:b/>
          <w:bCs/>
          <w:color w:val="2E5496"/>
          <w:sz w:val="28"/>
          <w:szCs w:val="28"/>
        </w:rPr>
        <w:t xml:space="preserve">8.1 Appointment Dataset (Source: EPIC)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3960"/>
      </w:tblGrid>
      <w:tr>
        <w:trPr>
          <w:tblHeader/>
        </w:trPr>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Column</w:t>
            </w:r>
          </w:p>
        </w:tc>
        <w:tc>
          <w:tcPr>
            <w:tcW w:type="dxa" w:w="14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Example Value</w:t>
            </w:r>
          </w:p>
        </w:tc>
        <w:tc>
          <w:tcPr>
            <w:tcW w:type="dxa" w:w="39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Notes</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Patient Name</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Abbott, Diane</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Format: Last, First</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DOB</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3/21/1945</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 of Birth – used to calculate Age</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Age</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Number (calc)</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80</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Derived from DOB and current date</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Service Date</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8/12/2022</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 of appointment – key date dimension for all time filters</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Provider</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Montarella, Amberlee</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Treating provider name – drives provider-level KPIs</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Status</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 / Comp / No Show / Seen</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Appointment outcome. Can = Cancelled, Comp = Completed/Seen</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Type</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Follow Up Video [1997]</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Appointment type with code in brackets</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Location</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HAY [10820101]</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Clinic location code. Two locations: HAY (Hayward) and FRE (Fresno)</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Delegation</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MA / PROVIDER</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Whether appointment handled by Medical Assistant or Provider</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Total Slot Available</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40,000</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Total scheduling slots in period</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Total Slot Used</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6,000</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Slots with a booked appointment</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Unutilized Slots</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 (calc)</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34,000</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Total Available minus Total Used</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No-Show Slots</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776</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Slots where patient did not attend</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Cancel Slots</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5,231</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Slots where appointment was cancelled</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Avg Monthly Patients Seen</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Number (calc)</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1.00</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Average times per month the patient has been seen</w:t>
            </w:r>
          </w:p>
        </w:tc>
      </w:tr>
    </w:tbl>
    <w:p>
      <w:pPr>
        <w:pStyle w:val="Heading2"/>
        <w:spacing w:after="80" w:before="180"/>
      </w:pPr>
      <w:r>
        <w:rPr>
          <w:rFonts w:ascii="Times New Roman" w:cs="Times New Roman" w:eastAsia="Times New Roman" w:hAnsi="Times New Roman"/>
          <w:b/>
          <w:bCs/>
          <w:color w:val="2E5496"/>
          <w:sz w:val="28"/>
          <w:szCs w:val="28"/>
        </w:rPr>
        <w:t xml:space="preserve">8.2 Submission Dataset (Source: Office 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3960"/>
      </w:tblGrid>
      <w:tr>
        <w:trPr>
          <w:tblHeader/>
        </w:trPr>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Column</w:t>
            </w:r>
          </w:p>
        </w:tc>
        <w:tc>
          <w:tcPr>
            <w:tcW w:type="dxa" w:w="14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Example Value</w:t>
            </w:r>
          </w:p>
        </w:tc>
        <w:tc>
          <w:tcPr>
            <w:tcW w:type="dxa" w:w="39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Notes</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Patient</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Abbott, Diane</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Patient name linked to appointment record</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Provider</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Amberlee Montarella</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Submitting provider</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CPT Code</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99214</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Current Procedural Terminology code for the service rendered</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Date</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1/15/2022</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 claim was submitted to payer</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Service Date</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1/12/2022</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Date of the corresponding appointment – used to calculate Avg Days to Bill</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Days to Bill</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 (calc)</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Date minus Service Date</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Billable Flag</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Billable / Non-Billable</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Whether the CPT code can be billed to insurance</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Visit Link</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Text/ID</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(visit reference)</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Links submission record back to appointment record – used to detect unsubmitted visits</w:t>
            </w:r>
          </w:p>
        </w:tc>
      </w:tr>
    </w:tbl>
    <w:p>
      <w:pPr>
        <w:pStyle w:val="Heading2"/>
        <w:spacing w:after="80" w:before="180"/>
      </w:pPr>
      <w:r>
        <w:rPr>
          <w:rFonts w:ascii="Times New Roman" w:cs="Times New Roman" w:eastAsia="Times New Roman" w:hAnsi="Times New Roman"/>
          <w:b/>
          <w:bCs/>
          <w:color w:val="2E5496"/>
          <w:sz w:val="28"/>
          <w:szCs w:val="28"/>
        </w:rPr>
        <w:t xml:space="preserve">8.3 Payment Dataset (Source: ERA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3960"/>
      </w:tblGrid>
      <w:tr>
        <w:trPr>
          <w:tblHeader/>
        </w:trPr>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Column</w:t>
            </w:r>
          </w:p>
        </w:tc>
        <w:tc>
          <w:tcPr>
            <w:tcW w:type="dxa" w:w="14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Data Type</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Example Value</w:t>
            </w:r>
          </w:p>
        </w:tc>
        <w:tc>
          <w:tcPr>
            <w:tcW w:type="dxa" w:w="39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Notes</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CPT Code</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99214</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CPT code from the corresponding claim</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Payer</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Brown and Toland Physicians</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Insurance company or payer name</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Charge Amount</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Currency</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$250,103.07</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Gross billed amount for the CPT</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Allowed Amount</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Currency</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$179,117.62</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Contract-agreed amount the payer will cover</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Line Payment Amount</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Currency</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$373.2K (total)</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Actual payment received from payer</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Patient Responsibility</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Currency</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$95.81K (total)</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Amount owed by patient (deductible, co-pay, co-insurance)</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 Payment Amount</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 (calc)</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79.57%</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Line Payment Amount / Total Allowed Amount</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 Patient Responsibility</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 (calc)</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20.43%</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Patient Responsibility / Total Allowed Amount</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Payment Status</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Processed as Primary</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Claim adjudication result: Processed, Denied, Secondary, etc.</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Payment Date</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(ERA date)</w:t>
            </w:r>
          </w:p>
        </w:tc>
        <w:tc>
          <w:tcPr>
            <w:tcW w:type="dxa" w:w="3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 payment was remitted</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Year</w:t>
            </w:r>
          </w:p>
        </w:tc>
        <w:tc>
          <w:tcPr>
            <w:tcW w:type="dxa" w:w="14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Number (extracted)</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2022</w:t>
            </w:r>
          </w:p>
        </w:tc>
        <w:tc>
          <w:tcPr>
            <w:tcW w:type="dxa" w:w="39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Year dimension extracted from payment date for trend analysis</w:t>
            </w:r>
          </w:p>
        </w:tc>
      </w:tr>
    </w:tbl>
    <w:p>
      <w:pPr>
        <w:pStyle w:val="Heading1"/>
        <w:pageBreakBefore/>
        <w:spacing w:after="120" w:before="240"/>
      </w:pPr>
      <w:r>
        <w:rPr>
          <w:rFonts w:ascii="Times New Roman" w:cs="Times New Roman" w:eastAsia="Times New Roman" w:hAnsi="Times New Roman"/>
          <w:b/>
          <w:bCs/>
          <w:color w:val="1F3864"/>
          <w:sz w:val="32"/>
          <w:szCs w:val="32"/>
        </w:rPr>
        <w:t xml:space="preserve">CHAPTER 9: DYNAMIC SELECTORS &amp; CONTROLS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uses advanced dynamic control mechanisms that change what visuals display without requiring page navigation. Understanding these controls is critical for correctly interpreting dashboard outputs and maximizing analytical value.</w:t>
      </w:r>
    </w:p>
    <w:p>
      <w:pPr>
        <w:pStyle w:val="Heading2"/>
        <w:spacing w:after="80" w:before="180"/>
      </w:pPr>
      <w:r>
        <w:rPr>
          <w:rFonts w:ascii="Times New Roman" w:cs="Times New Roman" w:eastAsia="Times New Roman" w:hAnsi="Times New Roman"/>
          <w:b/>
          <w:bCs/>
          <w:color w:val="2E5496"/>
          <w:sz w:val="28"/>
          <w:szCs w:val="28"/>
        </w:rPr>
        <w:t xml:space="preserve">9.1 Measure Selector</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Measure Selector is a dropdown/radio slicer present on the Patient View, Patient Description, and Appointment Report pages. It changes the metric plotted on the main chart of that page, allowing users to switch between KPIs without navigating away or losing their filter context.</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w:t>
            </w:r>
          </w:p>
        </w:tc>
        <w:tc>
          <w:tcPr>
            <w:tcW w:type="dxa" w:w="70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Measure Selector Options</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Patient View</w:t>
            </w:r>
          </w:p>
        </w:tc>
        <w:tc>
          <w:tcPr>
            <w:tcW w:type="dxa" w:w="70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Slot Utilization (default), Avg Yearly Patients Seen, Total Appointment, Avg Appointment per day, Cancellation Rate, Patient Seen %, No Show Patient</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Patient Description</w:t>
            </w:r>
          </w:p>
        </w:tc>
        <w:tc>
          <w:tcPr>
            <w:tcW w:type="dxa" w:w="70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Avg Daily Patients Seen, Avg Weekly Patients Seen, Avg Monthly Patients Seen, Avg Quarterly Patients Seen, Avg Yearly Patients Seen (default), Total Appointment, Avg Appointment per day</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Appointment Report</w:t>
            </w:r>
          </w:p>
        </w:tc>
        <w:tc>
          <w:tcPr>
            <w:tcW w:type="dxa" w:w="70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Avg Yearly Patients Seen, Total Appointment, Avg Appointment per day (default), Cancellation Rate, Patient Seen %, No Show Patient, Slot Utilization</w:t>
            </w:r>
          </w:p>
        </w:tc>
      </w:tr>
    </w:tbl>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Measure Selector is implemented using a disconnected slicer table in the Power BI data model combined with a DAX SWITCH measure that evaluates the selected value and returns the appropriate KPI calculation. This is an advanced Power BI pattern that provides significant UX flexibility without requiring multiple report pages.</w:t>
      </w:r>
    </w:p>
    <w:p>
      <w:pPr>
        <w:pStyle w:val="Heading2"/>
        <w:spacing w:after="80" w:before="180"/>
      </w:pPr>
      <w:r>
        <w:rPr>
          <w:rFonts w:ascii="Times New Roman" w:cs="Times New Roman" w:eastAsia="Times New Roman" w:hAnsi="Times New Roman"/>
          <w:b/>
          <w:bCs/>
          <w:color w:val="2E5496"/>
          <w:sz w:val="28"/>
          <w:szCs w:val="28"/>
        </w:rPr>
        <w:t xml:space="preserve">9.2 Dimension Selector</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Dimension Selector is a radio button toggle available on the Appointment Report page. It changes the axis of the 'Avg Appointment per day' bar chart: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Provider/Resource (default): Shows per-provider daily average appointments, enabling individual productivity benchmarking.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Type: Switches the same chart to show breakdown by appointment type (Follow Up, New Patient, Annual Wellness, etc.), enabling workload composition analysis.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control provides dual-dimension analytical capability on a single visualization without the need for separate charts, keeping the dashboard uncluttered while maximizing information density.</w:t>
      </w:r>
    </w:p>
    <w:p>
      <w:pPr>
        <w:pStyle w:val="Heading2"/>
        <w:spacing w:after="80" w:before="180"/>
      </w:pPr>
      <w:r>
        <w:rPr>
          <w:rFonts w:ascii="Times New Roman" w:cs="Times New Roman" w:eastAsia="Times New Roman" w:hAnsi="Times New Roman"/>
          <w:b/>
          <w:bCs/>
          <w:color w:val="2E5496"/>
          <w:sz w:val="28"/>
          <w:szCs w:val="28"/>
        </w:rPr>
        <w:t xml:space="preserve">9.3 Submission Toggle</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Submission Toggle consists of two buttons at the top-right of the Submission Report page that switch between two fundamentally different analytical views: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Submission Trend (default): Displays the year-wise submission trend chart and CPT code frequency chart, enabling analysis of billing volume growth and procedure mix.</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Unsubmitted Data: Switches to a detail table of visits with no corresponding claim submission, enabling proactive follow-up by billing teams on potential revenue leakage.</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ability to surface unsubmitted visits in real time is one of RCM360's most valuable features from a revenue protection standpoint. By making unsubmitted claims immediately visible, the system enables billing teams to act before filing deadlines expire.</w:t>
      </w:r>
    </w:p>
    <w:p>
      <w:pPr>
        <w:pStyle w:val="Heading2"/>
        <w:spacing w:after="80" w:before="180"/>
      </w:pPr>
      <w:r>
        <w:rPr>
          <w:rFonts w:ascii="Times New Roman" w:cs="Times New Roman" w:eastAsia="Times New Roman" w:hAnsi="Times New Roman"/>
          <w:b/>
          <w:bCs/>
          <w:color w:val="2E5496"/>
          <w:sz w:val="28"/>
          <w:szCs w:val="28"/>
        </w:rPr>
        <w:t xml:space="preserve">9.4 CPT Submission Selector</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CPT Submission Selector is a radio button toggle within the Submission Report page that changes the granularity of CPT submission analysis: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Total CPT Submission (default): Shows aggregate CPT submission counts, useful for understanding overall billing volume.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CPT Submitted per Visit: Switches the donut chart and related visuals to a per-visit average view, enabling analysis of services billed per encounter – a key metric for evaluating coding completeness.</w:t>
      </w:r>
    </w:p>
    <w:p>
      <w:pPr>
        <w:pStyle w:val="Heading1"/>
        <w:pageBreakBefore/>
        <w:spacing w:after="120" w:before="240"/>
      </w:pPr>
      <w:r>
        <w:rPr>
          <w:rFonts w:ascii="Times New Roman" w:cs="Times New Roman" w:eastAsia="Times New Roman" w:hAnsi="Times New Roman"/>
          <w:b/>
          <w:bCs/>
          <w:color w:val="1F3864"/>
          <w:sz w:val="32"/>
          <w:szCs w:val="32"/>
        </w:rPr>
        <w:t xml:space="preserve">CHAPTER 10: IMPLEMENTATION &amp; RESULTS</w:t>
      </w:r>
    </w:p>
    <w:p>
      <w:pPr>
        <w:pStyle w:val="Heading2"/>
        <w:spacing w:after="80" w:before="180"/>
      </w:pPr>
      <w:r>
        <w:rPr>
          <w:rFonts w:ascii="Times New Roman" w:cs="Times New Roman" w:eastAsia="Times New Roman" w:hAnsi="Times New Roman"/>
          <w:b/>
          <w:bCs/>
          <w:color w:val="2E5496"/>
          <w:sz w:val="28"/>
          <w:szCs w:val="28"/>
        </w:rPr>
        <w:t xml:space="preserve">10.1 ETL Process Implementation</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ETL (Extract, Transform, Load) pipeline is the foundation of RCM360's data integration capability. Implementation followed an iterative development approach, beginning with data discovery and profiling before building transformation logic.</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Data Discovery Phase: Python scripts were developed to profile each source dataset, identifying data quality issues including inconsistent date formats, provider name spelling variations between EPIC and Office Ally, missing slot data in certain EPIC export batches, and ERA file encoding inconsistencies across different payer formats.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Transformation Development: Cleaning scripts were developed to address each identified data quality issue. Provider name standardization was particularly critical, as the same provider appeared with different name formats in EPIC ('Montarella, Amberlee') versus Office Ally ('Amberlee Montarella'). A lookup table mapping all provider name variants was developed and incorporated into the ETL pipeline.</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Visit-to-Claim Matching Logic: The most complex ETL component was the visit-to-claim matching algorithm that identifies unsubmitted visits. The algorithm joins EPIC appointment records (where Status = 'Seen' or 'Comp') with Office Ally submission records using a composite key of patient name (normalized), service date, and provider (normalized). Records with no match in Office Ally are flagged as 'Unsubmitted'.</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ERA Parsing: ERA payment files follow the HIPAA 835 transaction standard. Python's re (regex) module and custom parsing logic were used to extract claim-level payment details, payer information, adjustment reason codes, and patient responsibility amounts into structured DataFrames.</w:t>
      </w:r>
    </w:p>
    <w:p>
      <w:pPr>
        <w:pStyle w:val="Heading2"/>
        <w:spacing w:after="80" w:before="180"/>
      </w:pPr>
      <w:r>
        <w:rPr>
          <w:rFonts w:ascii="Times New Roman" w:cs="Times New Roman" w:eastAsia="Times New Roman" w:hAnsi="Times New Roman"/>
          <w:b/>
          <w:bCs/>
          <w:color w:val="2E5496"/>
          <w:sz w:val="28"/>
          <w:szCs w:val="28"/>
        </w:rPr>
        <w:t xml:space="preserve">10.2 Dashboard Development in Power BI</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Dashboard development followed a structured approach guided by user story analysis and stakeholder feedback:</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 Model Design: A star schema was implemented with fact tables for appointments, submissions, and payments, connected through shared dimension tables for patients, providers, dates, and payers.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DAX Measure Library: Over 30 DAX measures were developed covering all KPI categories. Time intelligence measures leverage Power BI's built-in date table to enable year-over-year, quarter-over-quarter, and month-over-month comparisons.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Dynamic Measure Selector Implementation: Disconnected slicer tables and SWITCH-based DAX measures were implemented for the Measure Selector functionality, a technically advanced Power BI pattern.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Page-level Filter Context: Slicers for Year, Month, Provider, and Location were configured as page-level filters with cross-page filter synchronization to maintain analytical context across all five report pages.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Submission Toggle Implementation: Bookmark-based navigation buttons were implemented for the Submission Trend / Unsubmitted Data toggle, using Power BI's bookmark feature to switch between two visual states on the same page.</w:t>
      </w:r>
    </w:p>
    <w:p>
      <w:pPr>
        <w:pStyle w:val="Heading2"/>
        <w:spacing w:after="80" w:before="180"/>
      </w:pPr>
      <w:r>
        <w:rPr>
          <w:rFonts w:ascii="Times New Roman" w:cs="Times New Roman" w:eastAsia="Times New Roman" w:hAnsi="Times New Roman"/>
          <w:b/>
          <w:bCs/>
          <w:color w:val="2E5496"/>
          <w:sz w:val="28"/>
          <w:szCs w:val="28"/>
        </w:rPr>
        <w:t xml:space="preserve">10.3 Sample KPIs &amp; Results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Based on the sample dataset (approximately 9,999 appointment records spanning 2021-2022), RCM360 delivered the following measurable results: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Appointment Efficiency: 50% of scheduled appointments resulted in a seen patient, with 44% cancellation and 6.38% no-show rates. Slot utilization of 14.62% revealed significant capacity for appointment volume growth.</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Billing Timeliness: Average Days to Bill calculated from submission data enabling identification of providers or periods with delayed claim submission.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Revenue Cycle: Total charge amount of $250,103, allowed amount of $452.23K, and line payment of $373.2K with patient responsibility of $95.81K (20.43% of allowed amount).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Payer Performance: Brown and Toland Physicians emerged as the highest-paying payer at $179,117 in line payments, enabling contract performance benchmarking.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Unsubmitted Claims: Real-time detection of unsubmitted visits surfaced potential revenue leakage requiring immediate billing team follow-up.</w:t>
      </w:r>
    </w:p>
    <w:p>
      <w:pPr>
        <w:pStyle w:val="Heading2"/>
        <w:spacing w:after="80" w:before="180"/>
      </w:pPr>
      <w:r>
        <w:rPr>
          <w:rFonts w:ascii="Times New Roman" w:cs="Times New Roman" w:eastAsia="Times New Roman" w:hAnsi="Times New Roman"/>
          <w:b/>
          <w:bCs/>
          <w:color w:val="2E5496"/>
          <w:sz w:val="28"/>
          <w:szCs w:val="28"/>
        </w:rPr>
        <w:t xml:space="preserve">10.4 Case Study: Example Clinic (HAY Location)</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HAY (Hayward) clinic location provides a useful case study for RCM360's analytical capabilities: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Hayward clinic showed appointment volume patterns with quarter-over-quarter variation in slot utilization (Q1: 26%, Q2: 33%, Q3: 27%, Q4: 28%), suggesting seasonality effects in appointment demand. The Q2 peak aligns with common patterns of increased healthcare utilization following winter months.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Provider-level analysis revealed significant variation in daily appointment volumes across providers at the HAY location, enabling targeted interventions to redistribute workload and maximize scheduling efficiency. The Appointment Report's Dimension Selector (Provider/Type toggle) was particularly valuable for this multi-dimensional analysis.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Payment analysis showed that the HAY location's payer mix included Medicare, Medicaid, and private insurers, with payment status distribution revealing opportunities for improved primary claim processing and reduced claim forwarding to secondary payers.</w:t>
      </w:r>
    </w:p>
    <w:p>
      <w:pPr>
        <w:pStyle w:val="Heading1"/>
        <w:pageBreakBefore/>
        <w:spacing w:after="120" w:before="240"/>
      </w:pPr>
      <w:r>
        <w:rPr>
          <w:rFonts w:ascii="Times New Roman" w:cs="Times New Roman" w:eastAsia="Times New Roman" w:hAnsi="Times New Roman"/>
          <w:b/>
          <w:bCs/>
          <w:color w:val="1F3864"/>
          <w:sz w:val="32"/>
          <w:szCs w:val="32"/>
        </w:rPr>
        <w:t xml:space="preserve">CHAPTER 11: TESTING &amp; VALIDATION</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A comprehensive testing strategy was implemented to ensure the accuracy, reliability, and usability of the RCM360 dashboard across all components.</w:t>
      </w:r>
    </w:p>
    <w:p>
      <w:pPr>
        <w:pStyle w:val="Heading2"/>
        <w:spacing w:after="80" w:before="180"/>
      </w:pPr>
      <w:r>
        <w:rPr>
          <w:rFonts w:ascii="Times New Roman" w:cs="Times New Roman" w:eastAsia="Times New Roman" w:hAnsi="Times New Roman"/>
          <w:b/>
          <w:bCs/>
          <w:color w:val="2E5496"/>
          <w:sz w:val="28"/>
          <w:szCs w:val="28"/>
        </w:rPr>
        <w:t xml:space="preserve">11.1 Functional Testing</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Functional testing verified that all dashboard features operate as designed:</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3240"/>
        <w:gridCol w:w="1080"/>
      </w:tblGrid>
      <w:tr>
        <w:trPr>
          <w:tblHeader/>
        </w:trPr>
        <w:tc>
          <w:tcPr>
            <w:tcW w:type="dxa" w:w="7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Case</w:t>
            </w:r>
          </w:p>
        </w:tc>
        <w:tc>
          <w:tcPr>
            <w:tcW w:type="dxa" w:w="28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c>
          <w:tcPr>
            <w:tcW w:type="dxa" w:w="3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Expected Result</w:t>
            </w:r>
          </w:p>
        </w:tc>
        <w:tc>
          <w:tcPr>
            <w:tcW w:type="dxa" w:w="10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r>
      <w:tr>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TC-01</w:t>
            </w:r>
          </w:p>
        </w:tc>
        <w:tc>
          <w:tcPr>
            <w:tcW w:type="dxa" w:w="28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Patient View KPI Banner accuracy</w:t>
            </w:r>
          </w:p>
        </w:tc>
        <w:tc>
          <w:tcPr>
            <w:tcW w:type="dxa" w:w="32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KPI values match source data calculations</w:t>
            </w:r>
          </w:p>
        </w:tc>
        <w:tc>
          <w:tcPr>
            <w:tcW w:type="dxa" w:w="10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TC-02</w:t>
            </w:r>
          </w:p>
        </w:tc>
        <w:tc>
          <w:tcPr>
            <w:tcW w:type="dxa" w:w="28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Measure Selector functionality – Patient View</w:t>
            </w:r>
          </w:p>
        </w:tc>
        <w:tc>
          <w:tcPr>
            <w:tcW w:type="dxa" w:w="3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Selected measure updates chart without page refresh</w:t>
            </w:r>
          </w:p>
        </w:tc>
        <w:tc>
          <w:tcPr>
            <w:tcW w:type="dxa" w:w="10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TC-03</w:t>
            </w:r>
          </w:p>
        </w:tc>
        <w:tc>
          <w:tcPr>
            <w:tcW w:type="dxa" w:w="28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Cross-page filter synchronization</w:t>
            </w:r>
          </w:p>
        </w:tc>
        <w:tc>
          <w:tcPr>
            <w:tcW w:type="dxa" w:w="32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Year/Month selection persists across all 5 pages</w:t>
            </w:r>
          </w:p>
        </w:tc>
        <w:tc>
          <w:tcPr>
            <w:tcW w:type="dxa" w:w="10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TC-04</w:t>
            </w:r>
          </w:p>
        </w:tc>
        <w:tc>
          <w:tcPr>
            <w:tcW w:type="dxa" w:w="28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Toggle – Submission Trend view</w:t>
            </w:r>
          </w:p>
        </w:tc>
        <w:tc>
          <w:tcPr>
            <w:tcW w:type="dxa" w:w="3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Year-wise trend chart and CPT frequency chart display</w:t>
            </w:r>
          </w:p>
        </w:tc>
        <w:tc>
          <w:tcPr>
            <w:tcW w:type="dxa" w:w="10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TC-05</w:t>
            </w:r>
          </w:p>
        </w:tc>
        <w:tc>
          <w:tcPr>
            <w:tcW w:type="dxa" w:w="28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Toggle – Unsubmitted Data view</w:t>
            </w:r>
          </w:p>
        </w:tc>
        <w:tc>
          <w:tcPr>
            <w:tcW w:type="dxa" w:w="32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Detail table of unsubmitted visits displays</w:t>
            </w:r>
          </w:p>
        </w:tc>
        <w:tc>
          <w:tcPr>
            <w:tcW w:type="dxa" w:w="10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TC-06</w:t>
            </w:r>
          </w:p>
        </w:tc>
        <w:tc>
          <w:tcPr>
            <w:tcW w:type="dxa" w:w="28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Dimension Selector – Provider mode</w:t>
            </w:r>
          </w:p>
        </w:tc>
        <w:tc>
          <w:tcPr>
            <w:tcW w:type="dxa" w:w="3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Bar chart shows Avg Appt/day by Provider</w:t>
            </w:r>
          </w:p>
        </w:tc>
        <w:tc>
          <w:tcPr>
            <w:tcW w:type="dxa" w:w="10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TC-07</w:t>
            </w:r>
          </w:p>
        </w:tc>
        <w:tc>
          <w:tcPr>
            <w:tcW w:type="dxa" w:w="28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Dimension Selector – Type mode</w:t>
            </w:r>
          </w:p>
        </w:tc>
        <w:tc>
          <w:tcPr>
            <w:tcW w:type="dxa" w:w="32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Bar chart switches to Avg Appt/day by Appointment Type</w:t>
            </w:r>
          </w:p>
        </w:tc>
        <w:tc>
          <w:tcPr>
            <w:tcW w:type="dxa" w:w="10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TC-08</w:t>
            </w:r>
          </w:p>
        </w:tc>
        <w:tc>
          <w:tcPr>
            <w:tcW w:type="dxa" w:w="28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CPT Submission Selector – Total mode</w:t>
            </w:r>
          </w:p>
        </w:tc>
        <w:tc>
          <w:tcPr>
            <w:tcW w:type="dxa" w:w="3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Donut chart shows total CPT submissions</w:t>
            </w:r>
          </w:p>
        </w:tc>
        <w:tc>
          <w:tcPr>
            <w:tcW w:type="dxa" w:w="10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TC-09</w:t>
            </w:r>
          </w:p>
        </w:tc>
        <w:tc>
          <w:tcPr>
            <w:tcW w:type="dxa" w:w="28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Payment Status donut chart</w:t>
            </w:r>
          </w:p>
        </w:tc>
        <w:tc>
          <w:tcPr>
            <w:tcW w:type="dxa" w:w="32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Payment status percentages sum to 100%</w:t>
            </w:r>
          </w:p>
        </w:tc>
        <w:tc>
          <w:tcPr>
            <w:tcW w:type="dxa" w:w="10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TC-10</w:t>
            </w:r>
          </w:p>
        </w:tc>
        <w:tc>
          <w:tcPr>
            <w:tcW w:type="dxa" w:w="28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Payer filtering on Payment Report</w:t>
            </w:r>
          </w:p>
        </w:tc>
        <w:tc>
          <w:tcPr>
            <w:tcW w:type="dxa" w:w="3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Filtering by payer updates all payment visuals</w:t>
            </w:r>
          </w:p>
        </w:tc>
        <w:tc>
          <w:tcPr>
            <w:tcW w:type="dxa" w:w="10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pStyle w:val="Heading2"/>
        <w:spacing w:after="80" w:before="180"/>
      </w:pPr>
      <w:r>
        <w:rPr>
          <w:rFonts w:ascii="Times New Roman" w:cs="Times New Roman" w:eastAsia="Times New Roman" w:hAnsi="Times New Roman"/>
          <w:b/>
          <w:bCs/>
          <w:color w:val="2E5496"/>
          <w:sz w:val="28"/>
          <w:szCs w:val="28"/>
        </w:rPr>
        <w:t xml:space="preserve">11.2 Data Accuracy Validation</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Data accuracy validation ensured that RCM360's computed KPIs correctly reflect the underlying source data:</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Appointment Count Reconciliation: Total appointment count in Power BI was reconciled against EPIC export file record counts after deduplication. Reconciliation confirmed 100% record completeness.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KPI Formula Verification: Each DAX measure formula was validated against manual Excel calculations on a 500-record sample dataset. All rate calculations (Cancellation %, No-Show %, Seen %, Slot Utilization) matched manual calculations within rounding tolerance (±0.01%).</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Visit-to-Claim Match Validation: A sample of 50 appointments flagged as 'Unsubmitted' was manually verified against Office Ally records to confirm no matching submission existed. All 50 were confirmed unsubmitted.</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Payment Amount Reconciliation: Total Line Payment Amount in Power BI was reconciled against ERA file totals. A 100% match was achieved after resolving an initial ERA file encoding issue that had excluded payments from one payer.</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Days to Bill Calculation: A 100-record sample was used to manually calculate Days to Bill (Submission Date – Service Date) and compare against DAX measure output. All values matched.</w:t>
      </w:r>
    </w:p>
    <w:p>
      <w:pPr>
        <w:pStyle w:val="Heading2"/>
        <w:spacing w:after="80" w:before="180"/>
      </w:pPr>
      <w:r>
        <w:rPr>
          <w:rFonts w:ascii="Times New Roman" w:cs="Times New Roman" w:eastAsia="Times New Roman" w:hAnsi="Times New Roman"/>
          <w:b/>
          <w:bCs/>
          <w:color w:val="2E5496"/>
          <w:sz w:val="28"/>
          <w:szCs w:val="28"/>
        </w:rPr>
        <w:t xml:space="preserve">11.3 Performance Testing</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Performance testing assessed dashboard load times and data refresh durations: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Dashboard Load Time: Patient View page loaded within 3-5 seconds on standard broadband connection via Power BI Service browser access. Acceptable for business use.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Filter Response Time: Applying slicer filters (Year, Month, Provider) updated all visuals on the current page within 1-2 seconds. Cross-page filter synchronization added no perceptible delay.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 Refresh Duration: Full ETL pipeline execution (EPIC + Office Ally + ERA processing) and Power BI data model refresh completed within an acceptable time window for scheduled overnight refresh.</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Concurrent User Testing: The dashboard was tested with multiple simultaneous users accessing Power BI Service. No performance degradation was observed under normal operational load.</w:t>
      </w:r>
    </w:p>
    <w:p>
      <w:pPr>
        <w:pStyle w:val="Heading2"/>
        <w:spacing w:after="80" w:before="180"/>
      </w:pPr>
      <w:r>
        <w:rPr>
          <w:rFonts w:ascii="Times New Roman" w:cs="Times New Roman" w:eastAsia="Times New Roman" w:hAnsi="Times New Roman"/>
          <w:b/>
          <w:bCs/>
          <w:color w:val="2E5496"/>
          <w:sz w:val="28"/>
          <w:szCs w:val="28"/>
        </w:rPr>
        <w:t xml:space="preserve">11.4 User Acceptance Testing (UAT)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User Acceptance Testing was conducted with representative end users from each stakeholder group:</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980"/>
        <w:gridCol w:w="2700"/>
        <w:gridCol w:w="2700"/>
      </w:tblGrid>
      <w:tr>
        <w:trPr>
          <w:tblHeader/>
        </w:trPr>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Stakeholder Group</w:t>
            </w:r>
          </w:p>
        </w:tc>
        <w:tc>
          <w:tcPr>
            <w:tcW w:type="dxa" w:w="19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Focus</w:t>
            </w:r>
          </w:p>
        </w:tc>
        <w:tc>
          <w:tcPr>
            <w:tcW w:type="dxa" w:w="2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Feedback</w:t>
            </w:r>
          </w:p>
        </w:tc>
        <w:tc>
          <w:tcPr>
            <w:tcW w:type="dxa" w:w="2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Resolution</w:t>
            </w:r>
          </w:p>
        </w:tc>
      </w:tr>
      <w:tr>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Billing Team</w:t>
            </w:r>
          </w:p>
        </w:tc>
        <w:tc>
          <w:tcPr>
            <w:tcW w:type="dxa" w:w="19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Report – Unsubmitted visits detection</w:t>
            </w:r>
          </w:p>
        </w:tc>
        <w:tc>
          <w:tcPr>
            <w:tcW w:type="dxa" w:w="27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Requested ability to export unsubmitted visit list to Excel</w:t>
            </w:r>
          </w:p>
        </w:tc>
        <w:tc>
          <w:tcPr>
            <w:tcW w:type="dxa" w:w="27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Power BI export functionality enabled</w:t>
            </w:r>
          </w:p>
        </w:tc>
      </w:tr>
      <w:tr>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Finance Manager</w:t>
            </w:r>
          </w:p>
        </w:tc>
        <w:tc>
          <w:tcPr>
            <w:tcW w:type="dxa" w:w="19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Payment Report – Payer performance analysis</w:t>
            </w:r>
          </w:p>
        </w:tc>
        <w:tc>
          <w:tcPr>
            <w:tcW w:type="dxa" w:w="2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Requested addition of year-over-year payment trend comparison</w:t>
            </w:r>
          </w:p>
        </w:tc>
        <w:tc>
          <w:tcPr>
            <w:tcW w:type="dxa" w:w="2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Trend KPI added to Payment Report</w:t>
            </w:r>
          </w:p>
        </w:tc>
      </w:tr>
      <w:tr>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Provider</w:t>
            </w:r>
          </w:p>
        </w:tc>
        <w:tc>
          <w:tcPr>
            <w:tcW w:type="dxa" w:w="19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Appointment Report – Individual performance metrics</w:t>
            </w:r>
          </w:p>
        </w:tc>
        <w:tc>
          <w:tcPr>
            <w:tcW w:type="dxa" w:w="27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Requested drill-down to individual appointment detail from performance chart</w:t>
            </w:r>
          </w:p>
        </w:tc>
        <w:tc>
          <w:tcPr>
            <w:tcW w:type="dxa" w:w="27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Drill-through functionality configured</w:t>
            </w:r>
          </w:p>
        </w:tc>
      </w:tr>
      <w:tr>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 Staff</w:t>
            </w:r>
          </w:p>
        </w:tc>
        <w:tc>
          <w:tcPr>
            <w:tcW w:type="dxa" w:w="19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Patient View – Cancellation analysis</w:t>
            </w:r>
          </w:p>
        </w:tc>
        <w:tc>
          <w:tcPr>
            <w:tcW w:type="dxa" w:w="2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Initial confusion about Measure Selector operation</w:t>
            </w:r>
          </w:p>
        </w:tc>
        <w:tc>
          <w:tcPr>
            <w:tcW w:type="dxa" w:w="2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Help tooltips added to Measure Selector</w:t>
            </w:r>
          </w:p>
        </w:tc>
      </w:tr>
      <w:tr>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Clinic Owner</w:t>
            </w:r>
          </w:p>
        </w:tc>
        <w:tc>
          <w:tcPr>
            <w:tcW w:type="dxa" w:w="19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Overall KPI Dashboard</w:t>
            </w:r>
          </w:p>
        </w:tc>
        <w:tc>
          <w:tcPr>
            <w:tcW w:type="dxa" w:w="27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Positive feedback; requested mobile access</w:t>
            </w:r>
          </w:p>
        </w:tc>
        <w:tc>
          <w:tcPr>
            <w:tcW w:type="dxa" w:w="27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Power BI mobile app access configured</w:t>
            </w:r>
          </w:p>
        </w:tc>
      </w:tr>
    </w:tbl>
    <w:p>
      <w:pPr>
        <w:pStyle w:val="Heading1"/>
        <w:pageBreakBefore/>
        <w:spacing w:after="120" w:before="240"/>
      </w:pPr>
      <w:r>
        <w:rPr>
          <w:rFonts w:ascii="Times New Roman" w:cs="Times New Roman" w:eastAsia="Times New Roman" w:hAnsi="Times New Roman"/>
          <w:b/>
          <w:bCs/>
          <w:color w:val="1F3864"/>
          <w:sz w:val="32"/>
          <w:szCs w:val="32"/>
        </w:rPr>
        <w:t xml:space="preserve">CHAPTER 12: ADVANTAGES &amp; LIMITATIONS</w:t>
      </w:r>
    </w:p>
    <w:p>
      <w:pPr>
        <w:pStyle w:val="Heading2"/>
        <w:spacing w:after="80" w:before="180"/>
      </w:pPr>
      <w:r>
        <w:rPr>
          <w:rFonts w:ascii="Times New Roman" w:cs="Times New Roman" w:eastAsia="Times New Roman" w:hAnsi="Times New Roman"/>
          <w:b/>
          <w:bCs/>
          <w:color w:val="2E5496"/>
          <w:sz w:val="28"/>
          <w:szCs w:val="28"/>
        </w:rPr>
        <w:t xml:space="preserve">12.1 Advantages of RCM360</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offers significant advantages over legacy reporting approaches and competing solutions: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Unified Cross-System View: Integrates appointment (EPIC), submission (Office Ally), and payment (ERA) data into a single platform, eliminating the manual reconciliation work previously required across three separate systems.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Real-time Revenue Leakage Detection: The Unsubmitted Visits feature in the Submission Report provides immediate visibility into billing gaps, enabling proactive revenue recovery before claim filing deadlines expire.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Dynamic, Multi-KPI Analysis: The Measure Selector, Dimension Selector, and Submission Toggle provide exceptional analytical flexibility on a compact 5-page dashboard, supporting diverse analytical needs without page proliferation.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Automated ETL Pipeline: Python-based automation eliminates manual data preparation work, reducing both labour costs and the risk of human error in report generation.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Role-appropriate Access: Power BI Service's access control capabilities enable each user group to access only the reports and data relevant to their role.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Scalable Architecture: The star schema data model and modular ETL pipeline can accommodate additional data sources, new KPIs, or expanded provider/location coverage without fundamental architectural changes.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Cost-Effectiveness: Built on Microsoft Power BI (broadly available in Microsoft 365 environments) and Python (open source), RCM360 avoids the high licensing costs of proprietary RCM analytics platforms.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Audit-Ready Reporting: Clean, structured, reproducible reporting with consistent data lineage supports billing compliance reviews and regulatory audits.</w:t>
      </w:r>
    </w:p>
    <w:p>
      <w:pPr>
        <w:pStyle w:val="Heading2"/>
        <w:spacing w:after="80" w:before="180"/>
      </w:pPr>
      <w:r>
        <w:rPr>
          <w:rFonts w:ascii="Times New Roman" w:cs="Times New Roman" w:eastAsia="Times New Roman" w:hAnsi="Times New Roman"/>
          <w:b/>
          <w:bCs/>
          <w:color w:val="2E5496"/>
          <w:sz w:val="28"/>
          <w:szCs w:val="28"/>
        </w:rPr>
        <w:t xml:space="preserve">12.2 Limitations of RCM360</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has the following limitations that should be considered in deployment planning:</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Read-only Analytics: RCM360 is a reporting layer only. It cannot directly update source systems, submit claims, or trigger workflow actions. Action-taking must be performed in the source operational systems.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Dependency on Source System Export Quality: The accuracy of RCM360 KPIs is directly dependent on the completeness and format consistency of EPIC, Office Ally, and ERA exports. Changes in source system export formats can break ETL pipelines.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Provider Name Standardization Maintenance: The provider name lookup table requires manual maintenance when provider staff changes occur, as name format inconsistencies between EPIC and Office Ally are resolved through this mapping.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No Real-time Streaming: RCM360 operates on scheduled data refresh cycles rather than true real-time streaming. Data is current as of the most recent refresh, not the current moment.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Limited Diagnosis Code Analysis: The current implementation focuses on CPT (procedure) codes rather than ICD (diagnosis) codes. Disease burden and diagnostic pattern analytics are outside the current scope.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Two-Location Focus: The current implementation is calibrated for HAY (Hayward) and FRE (Fresno) locations. Extension to additional clinic sites requires ETL configuration updates.</w:t>
      </w:r>
    </w:p>
    <w:p>
      <w:pPr>
        <w:pStyle w:val="Heading2"/>
        <w:spacing w:after="80" w:before="180"/>
      </w:pPr>
      <w:r>
        <w:rPr>
          <w:rFonts w:ascii="Times New Roman" w:cs="Times New Roman" w:eastAsia="Times New Roman" w:hAnsi="Times New Roman"/>
          <w:b/>
          <w:bCs/>
          <w:color w:val="2E5496"/>
          <w:sz w:val="28"/>
          <w:szCs w:val="28"/>
        </w:rPr>
        <w:t xml:space="preserve">12.3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20"/>
        <w:gridCol w:w="1620"/>
        <w:gridCol w:w="1980"/>
        <w:gridCol w:w="1800"/>
      </w:tblGrid>
      <w:tr>
        <w:trPr>
          <w:tblHeader/>
        </w:trPr>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Feature</w:t>
            </w:r>
          </w:p>
        </w:tc>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RCM360</w:t>
            </w:r>
          </w:p>
        </w:tc>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Epic Reporting Workbench</w:t>
            </w:r>
          </w:p>
        </w:tc>
        <w:tc>
          <w:tcPr>
            <w:tcW w:type="dxa" w:w="19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Tableau Healthcare</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athenahealth Analytics</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Cross-system Integration</w:t>
            </w:r>
          </w:p>
        </w:tc>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Yes (EPIC + OA + ERA)</w:t>
            </w:r>
          </w:p>
        </w:tc>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EPIC only</w:t>
            </w:r>
          </w:p>
        </w:tc>
        <w:tc>
          <w:tcPr>
            <w:tcW w:type="dxa" w:w="19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Requires custom connectors</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Native (within athenahealth)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Unsubmitted Claim Detection</w:t>
            </w:r>
          </w:p>
        </w:tc>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Yes (real-time)</w:t>
            </w:r>
          </w:p>
        </w:tc>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19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Custom build required</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Dynamic Measure Selector</w:t>
            </w:r>
          </w:p>
        </w:tc>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19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Partial</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Python ETL Automation</w:t>
            </w:r>
          </w:p>
        </w:tc>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Yes (open source)</w:t>
            </w:r>
          </w:p>
        </w:tc>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19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Limited</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Cost</w:t>
            </w:r>
          </w:p>
        </w:tc>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Low (Power BI + Python)</w:t>
            </w:r>
          </w:p>
        </w:tc>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Included in EPIC</w:t>
            </w:r>
          </w:p>
        </w:tc>
        <w:tc>
          <w:tcPr>
            <w:tcW w:type="dxa" w:w="19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High (SaaS)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Customizability</w:t>
            </w:r>
          </w:p>
        </w:tc>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Low</w:t>
            </w:r>
          </w:p>
        </w:tc>
        <w:tc>
          <w:tcPr>
            <w:tcW w:type="dxa" w:w="19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Low</w:t>
            </w:r>
          </w:p>
        </w:tc>
      </w:tr>
      <w:tr>
        <w:tc>
          <w:tcPr>
            <w:tcW w:type="dxa" w:w="23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Deployment</w:t>
            </w:r>
          </w:p>
        </w:tc>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Power BI Service (cloud)</w:t>
            </w:r>
          </w:p>
        </w:tc>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EPIC hosted</w:t>
            </w:r>
          </w:p>
        </w:tc>
        <w:tc>
          <w:tcPr>
            <w:tcW w:type="dxa" w:w="19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Cloud/On-premise</w:t>
            </w:r>
          </w:p>
        </w:tc>
        <w:tc>
          <w:tcPr>
            <w:tcW w:type="dxa" w:w="18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SaaS only</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Mobile Access</w:t>
            </w:r>
          </w:p>
        </w:tc>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Yes (Power BI mobile)</w:t>
            </w:r>
          </w:p>
        </w:tc>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Limited</w:t>
            </w:r>
          </w:p>
        </w:tc>
        <w:tc>
          <w:tcPr>
            <w:tcW w:type="dxa" w:w="19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bl>
    <w:p>
      <w:pPr>
        <w:pStyle w:val="Heading1"/>
        <w:pageBreakBefore/>
        <w:spacing w:after="120" w:before="240"/>
      </w:pPr>
      <w:r>
        <w:rPr>
          <w:rFonts w:ascii="Times New Roman" w:cs="Times New Roman" w:eastAsia="Times New Roman" w:hAnsi="Times New Roman"/>
          <w:b/>
          <w:bCs/>
          <w:color w:val="1F3864"/>
          <w:sz w:val="32"/>
          <w:szCs w:val="32"/>
        </w:rPr>
        <w:t xml:space="preserve">CHAPTER 13: FUTURE ENHANCEMENTS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is designed as an evolving platform. The following Phase 2 enhancements are planned or recommended:</w:t>
      </w:r>
    </w:p>
    <w:p>
      <w:pPr>
        <w:pStyle w:val="Heading2"/>
        <w:spacing w:after="80" w:before="180"/>
      </w:pPr>
      <w:r>
        <w:rPr>
          <w:rFonts w:ascii="Times New Roman" w:cs="Times New Roman" w:eastAsia="Times New Roman" w:hAnsi="Times New Roman"/>
          <w:b/>
          <w:bCs/>
          <w:color w:val="2E5496"/>
          <w:sz w:val="28"/>
          <w:szCs w:val="28"/>
        </w:rPr>
        <w:t xml:space="preserve">13.1 AI/ML Integration for Predictive Analytics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most transformative planned enhancement is the integration of Artificial Intelligence and Machine Learning capabilities into the RCM360 platform:</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AI-based Denial Prediction Model: Train a machine learning classifier (e.g., Random Forest, XGBoost) on historical claim adjudication data to predict the likelihood of denial for newly submitted claims. By flagging high-denial-risk claims before submission, the system can enable proactive correction of coding errors or documentation gaps.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Revenue Forecasting: Time-series forecasting models (e.g., ARIMA, Prophet) applied to appointment and payment trend data to project monthly revenue, enabling proactive financial planning.</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Anomaly Detection: Unsupervised learning algorithms applied to billing patterns to detect unusual CPT code combinations, billing spikes, or payer payment anomalies that may indicate errors or compliance risks.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Natural Language Processing (NLP): Analysis of appointment Notes/Reason fields to extract structured insights from unstructured clinical documentation.</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Python's scikit-learn, XGBoost, and Facebook Prophet libraries are well-suited for implementing these ML features within RCM360's existing Python ETL infrastructure, with model outputs fed back into the Power BI data model as additional computed fields.</w:t>
      </w:r>
    </w:p>
    <w:p>
      <w:pPr>
        <w:pStyle w:val="Heading2"/>
        <w:spacing w:after="80" w:before="180"/>
      </w:pPr>
      <w:r>
        <w:rPr>
          <w:rFonts w:ascii="Times New Roman" w:cs="Times New Roman" w:eastAsia="Times New Roman" w:hAnsi="Times New Roman"/>
          <w:b/>
          <w:bCs/>
          <w:color w:val="2E5496"/>
          <w:sz w:val="28"/>
          <w:szCs w:val="28"/>
        </w:rPr>
        <w:t xml:space="preserve">13.2 Mobile App Extension</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While RCM360 is accessible via the Power BI mobile app, a dedicated mobile application would provide enhanced capabilities: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Push Notifications: Real-time alerts for new denials, unsubmitted claim thresholds, or unusual payment pattern anomalies delivered directly to mobile devices.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Optimized Mobile Dashboards: Purpose-built mobile layouts optimized for smartphone screen dimensions, providing key KPI summaries accessible at a glance.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Offline Mode: Ability to view the most recently cached dashboard data without internet connectivity, useful for providers in clinical environments with limited connectivity.</w:t>
      </w:r>
    </w:p>
    <w:p>
      <w:pPr>
        <w:pStyle w:val="Heading2"/>
        <w:spacing w:after="80" w:before="180"/>
      </w:pPr>
      <w:r>
        <w:rPr>
          <w:rFonts w:ascii="Times New Roman" w:cs="Times New Roman" w:eastAsia="Times New Roman" w:hAnsi="Times New Roman"/>
          <w:b/>
          <w:bCs/>
          <w:color w:val="2E5496"/>
          <w:sz w:val="28"/>
          <w:szCs w:val="28"/>
        </w:rPr>
        <w:t xml:space="preserve">13.3 Integration with IoT Devices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Future integration with healthcare IoT infrastructure could enhance RCM360's data richness: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Patient Check-in Kiosks: Real-time patient check-in status from self-service kiosks integrated directly into appointment status tracking, reducing the lag between patient arrival and appointment status update.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Wearable Health Data: Integration of wearable health device data (with appropriate patient consent and privacy frameworks) to enrich patient profiles for care coordination and risk stratification.</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Smart Scheduling Systems: AI-powered scheduling optimization informed by RCM360's slot utilization and no-show pattern analytics.</w:t>
      </w:r>
    </w:p>
    <w:p>
      <w:pPr>
        <w:pStyle w:val="Heading2"/>
        <w:spacing w:after="80" w:before="180"/>
      </w:pPr>
      <w:r>
        <w:rPr>
          <w:rFonts w:ascii="Times New Roman" w:cs="Times New Roman" w:eastAsia="Times New Roman" w:hAnsi="Times New Roman"/>
          <w:b/>
          <w:bCs/>
          <w:color w:val="2E5496"/>
          <w:sz w:val="28"/>
          <w:szCs w:val="28"/>
        </w:rPr>
        <w:t xml:space="preserve">13.4 Advanced Denial Management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A dedicated Denial Management module would significantly enhance RCM360's revenue protection capabilities: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Denial Reason Code Dashboard: Detailed analysis of ERA denial reason codes (CARC/RARC codes) to identify the most common denial types by payer, provider, and CPT code.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Denial Tracking Workflow: Integration with a case management system to track denial appeal status, enabling billing teams to manage the appeals process within the RCM360 platform.</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Denial Rate Benchmarking: Comparison of denial rates against industry benchmarks to identify performance gaps relative to peer organizations.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Early Warning System: Automated alerts triggered when denial rates exceed defined thresholds, enabling rapid intervention before revenue impact becomes material.</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Aging Analysis Dashboard: Accounts receivable aging analysis (0-30, 31-60, 61-90, 90+ days outstanding) to prioritize collections follow-up based on claim age and balance amount.</w:t>
      </w:r>
    </w:p>
    <w:p>
      <w:pPr>
        <w:pStyle w:val="Heading1"/>
        <w:pageBreakBefore/>
        <w:spacing w:after="120" w:before="240"/>
      </w:pPr>
      <w:r>
        <w:rPr>
          <w:rFonts w:ascii="Times New Roman" w:cs="Times New Roman" w:eastAsia="Times New Roman" w:hAnsi="Times New Roman"/>
          <w:b/>
          <w:bCs/>
          <w:color w:val="1F3864"/>
          <w:sz w:val="32"/>
          <w:szCs w:val="32"/>
        </w:rPr>
        <w:t xml:space="preserve">CHAPTER 14: PUBLISH REPORT &amp; DEPLOYMENT</w:t>
      </w:r>
    </w:p>
    <w:p>
      <w:pPr>
        <w:pStyle w:val="Heading2"/>
        <w:spacing w:after="80" w:before="180"/>
      </w:pPr>
      <w:r>
        <w:rPr>
          <w:rFonts w:ascii="Times New Roman" w:cs="Times New Roman" w:eastAsia="Times New Roman" w:hAnsi="Times New Roman"/>
          <w:b/>
          <w:bCs/>
          <w:color w:val="2E5496"/>
          <w:sz w:val="28"/>
          <w:szCs w:val="28"/>
        </w:rPr>
        <w:t xml:space="preserve">14.1 Publishing to Power BI Service</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publication of RCM360 to Power BI Service follows a structured process: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Workspace Creation: A dedicated Power BI workspace ('RCM360 Production') is created in Power BI Service for the healthcare organization, separate from development and testing workspaces.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Report Publication: The completed Power BI Desktop report (.pbix file) is published to the production workspace via the 'Publish' function in Power BI Desktop, which uploads both the data model and report pages.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Dataset Configuration: Post-publication, the dataset (data model) is configured with appropriate data source credentials, enabling scheduled refresh to connect to the ETL-processed data files.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Report Settings: Sensitivity labels ('Confidential – Internal Use Only') are applied to the published report in compliance with the healthcare organization's data governance policies.</w:t>
      </w:r>
    </w:p>
    <w:p>
      <w:pPr>
        <w:pStyle w:val="Heading2"/>
        <w:spacing w:after="80" w:before="180"/>
      </w:pPr>
      <w:r>
        <w:rPr>
          <w:rFonts w:ascii="Times New Roman" w:cs="Times New Roman" w:eastAsia="Times New Roman" w:hAnsi="Times New Roman"/>
          <w:b/>
          <w:bCs/>
          <w:color w:val="2E5496"/>
          <w:sz w:val="28"/>
          <w:szCs w:val="28"/>
        </w:rPr>
        <w:t xml:space="preserve">14.2 Generating Browser-based Report Link</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Once published, RCM360 is accessible via browser-based links: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Direct Report URL: Power BI Service generates a unique URL for each report and each report page. These URLs can be bookmarked and accessed directly from any modern web browser.</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Embedded Reports: For integration into healthcare organization intranet portals or existing applications, Power BI's embedding capabilities (Power BI Embedded) allow RCM360 to be surfaced within other web applications.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QR Codes: QR codes generated from report URLs can be printed and placed in clinical or administrative areas, providing rapid mobile access to relevant dashboard pages.</w:t>
      </w:r>
    </w:p>
    <w:p>
      <w:pPr>
        <w:pStyle w:val="Heading2"/>
        <w:spacing w:after="80" w:before="180"/>
      </w:pPr>
      <w:r>
        <w:rPr>
          <w:rFonts w:ascii="Times New Roman" w:cs="Times New Roman" w:eastAsia="Times New Roman" w:hAnsi="Times New Roman"/>
          <w:b/>
          <w:bCs/>
          <w:color w:val="2E5496"/>
          <w:sz w:val="28"/>
          <w:szCs w:val="28"/>
        </w:rPr>
        <w:t xml:space="preserve">14.3 Sharing with Stakeholders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is shared with different stakeholder groups through Power BI Service's sharing and distribution capabilities: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App Distribution: A Power BI App is created from the RCM360 workspace, providing a curated, role-appropriate view for end users. Apps present a simplified interface without exposing workspace management features.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Email Subscription: Stakeholders are configured for automated email delivery of report snapshots on a defined schedule (daily, weekly), ensuring key decision-makers receive KPI summaries even without actively accessing the dashboard.</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Report Sharing: Direct report sharing links are distributed to individual users via email or internal communication channels, granting view-only or edit access as appropriate.</w:t>
      </w:r>
    </w:p>
    <w:p>
      <w:pPr>
        <w:pStyle w:val="Heading2"/>
        <w:spacing w:after="80" w:before="180"/>
      </w:pPr>
      <w:r>
        <w:rPr>
          <w:rFonts w:ascii="Times New Roman" w:cs="Times New Roman" w:eastAsia="Times New Roman" w:hAnsi="Times New Roman"/>
          <w:b/>
          <w:bCs/>
          <w:color w:val="2E5496"/>
          <w:sz w:val="28"/>
          <w:szCs w:val="28"/>
        </w:rPr>
        <w:t xml:space="preserve">14.4 Access Control &amp; Security in Published Reports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Robust access controls are implemented in Power BI Service to protect sensitive healthcare financial data:</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Row-Level Security (RLS): DAX-based RLS rules restrict each provider to viewing only their own appointment and billing data, while finance managers and administrators have access to all-provider views.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Workspace Roles: Admin, Member, Contributor, and Viewer roles in the Power BI workspace provide appropriate access levels for different staff categories.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Microsoft Entra ID Integration: Authentication is managed through Microsoft Entra ID (formerly Azure Active Directory), enabling single sign-on (SSO) and multi-factor authentication (MFA) for enhanced security.</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Sharing Link Controls: Report sharing links are configured with expiration dates and domain restrictions to prevent unauthorized external access.</w:t>
      </w:r>
    </w:p>
    <w:p>
      <w:pPr>
        <w:pStyle w:val="Heading2"/>
        <w:spacing w:after="80" w:before="180"/>
      </w:pPr>
      <w:r>
        <w:rPr>
          <w:rFonts w:ascii="Times New Roman" w:cs="Times New Roman" w:eastAsia="Times New Roman" w:hAnsi="Times New Roman"/>
          <w:b/>
          <w:bCs/>
          <w:color w:val="2E5496"/>
          <w:sz w:val="28"/>
          <w:szCs w:val="28"/>
        </w:rPr>
        <w:t xml:space="preserve">14.5 Real-time Updates &amp; Scheduled Refresh</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Data currency is maintained through Power BI Service's scheduled refresh capabilities: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Scheduled Refresh Configuration: The RCM360 dataset is configured for automated daily refresh, triggered after the ETL pipeline completes processing of new source files.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Refresh Monitoring: Power BI Service provides refresh history logs and failure notifications, enabling the IT team to monitor data pipeline health and respond quickly to any ETL failures.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On-demand Refresh: Authorized users can trigger manual data refresh through Power BI Service when urgent KPI updates are needed outside the scheduled refresh window.</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Incremental Refresh: For large historical datasets, Power BI's incremental refresh feature ensures that only new or changed records are processed in each refresh cycle, significantly reducing refresh duration and computational overhead.</w:t>
      </w:r>
    </w:p>
    <w:p>
      <w:pPr>
        <w:pStyle w:val="Heading1"/>
        <w:pageBreakBefore/>
        <w:spacing w:after="120" w:before="240"/>
      </w:pPr>
      <w:r>
        <w:rPr>
          <w:rFonts w:ascii="Times New Roman" w:cs="Times New Roman" w:eastAsia="Times New Roman" w:hAnsi="Times New Roman"/>
          <w:b/>
          <w:bCs/>
          <w:color w:val="1F3864"/>
          <w:sz w:val="32"/>
          <w:szCs w:val="32"/>
        </w:rPr>
        <w:t xml:space="preserve">CHAPTER 15: CONCLUSION</w:t>
      </w:r>
    </w:p>
    <w:p>
      <w:pPr>
        <w:pStyle w:val="Heading2"/>
        <w:spacing w:after="80" w:before="180"/>
      </w:pPr>
      <w:r>
        <w:rPr>
          <w:rFonts w:ascii="Times New Roman" w:cs="Times New Roman" w:eastAsia="Times New Roman" w:hAnsi="Times New Roman"/>
          <w:b/>
          <w:bCs/>
          <w:color w:val="2E5496"/>
          <w:sz w:val="28"/>
          <w:szCs w:val="28"/>
        </w:rPr>
        <w:t xml:space="preserve">15.1 Summary of Findings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project has presented a comprehensive analysis of RCM360, a Power BI-based Healthcare Revenue Cycle Management Analytics Dashboard developed by IDS Infotech Ltd. The study examined every dimension of the system – from its foundational data architecture and ETL pipeline through its interactive dashboard design, KPI framework, testing methodology, and deployment strategy.</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Key findings from this study include:</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RCM360 successfully addresses the core challenges of fragmented healthcare financial data by integrating appointment (EPIC), submission (Office Ally), and payment (ERA) data into a unified, automated analytical platform.</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The system's Python ETL pipeline provides robust data transformation, deduplication, and cross-system matching capabilities that were previously achievable only through manual, labour-intensive processes.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The Power BI data model's star schema design and DAX measure library enable computation of over 30 KPIs across six functional categories, providing comprehensive coverage of the revenue cycle.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Advanced UX features including the Measure Selector, Dimension Selector, Submission Toggle, and CPT Submission Selector provide exceptional analytical flexibility within a compact 5-page dashboard structure.</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The real-time Unsubmitted Visits detection feature represents a significant revenue protection capability that directly addresses one of the most common sources of billing revenue leakage in healthcare organizations.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Sample data analysis revealed a 44% cancellation rate and 14.62% slot utilization rate, highlighting specific operational improvement opportunities that the dashboard makes visible for the first time.</w:t>
      </w:r>
    </w:p>
    <w:p>
      <w:pPr>
        <w:pStyle w:val="Heading2"/>
        <w:spacing w:after="80" w:before="180"/>
      </w:pPr>
      <w:r>
        <w:rPr>
          <w:rFonts w:ascii="Times New Roman" w:cs="Times New Roman" w:eastAsia="Times New Roman" w:hAnsi="Times New Roman"/>
          <w:b/>
          <w:bCs/>
          <w:color w:val="2E5496"/>
          <w:sz w:val="28"/>
          <w:szCs w:val="28"/>
        </w:rPr>
        <w:t xml:space="preserve">15.2 Impact on Healthcare Industry</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RCM360 demonstrates the transformative potential of Business Intelligence technology in healthcare financial operations. By replacing manual spreadsheet-based reporting with automated, real-time analytics, systems like RCM360 can:</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Reduce Revenue Leakage: Real-time detection of unsubmitted claims and denial patterns enables proactive revenue recovery that would otherwise be lost.</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Accelerate Cash Flow: Faster claim submission timelines (reduced Days to Bill) accelerate payment cycles, improving cash flow for healthcare organizations operating on tight margins.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Enable Data-driven Management: Evidence-based decision making becomes possible when accurate, current KPIs are accessible to all stakeholder levels, from individual providers to clinic owners.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Reduce Administrative Burden: Automation of data collection, reconciliation, and report generation frees clinical and administrative staff to focus on higher-value activities.</w:t>
      </w:r>
    </w:p>
    <w:p>
      <w:pPr>
        <w:pStyle w:val="ListParagraph"/>
        <w:numPr>
          <w:ilvl w:val="0"/>
          <w:numId w:val="2"/>
        </w:numPr>
        <w:spacing w:after="40" w:before="40" w:line="340"/>
        <w:jc w:val="left"/>
      </w:pPr>
      <w:r>
        <w:rPr>
          <w:rFonts w:ascii="Times New Roman" w:cs="Times New Roman" w:eastAsia="Times New Roman" w:hAnsi="Times New Roman"/>
          <w:sz w:val="24"/>
          <w:szCs w:val="24"/>
        </w:rPr>
        <w:t xml:space="preserve">Support Compliance and Audit Readiness: Clean, structured, reproducible reporting with clear data lineage supports the increasingly complex regulatory environment of healthcare billing.</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As healthcare organizations face continuing pressure from reimbursement complexity, regulatory requirements, and financial margin compression, analytics platforms like RCM360 represent not merely a convenience but a strategic necessity for financial sustainability.</w:t>
      </w:r>
    </w:p>
    <w:p>
      <w:pPr>
        <w:pStyle w:val="Heading2"/>
        <w:spacing w:after="80" w:before="180"/>
      </w:pPr>
      <w:r>
        <w:rPr>
          <w:rFonts w:ascii="Times New Roman" w:cs="Times New Roman" w:eastAsia="Times New Roman" w:hAnsi="Times New Roman"/>
          <w:b/>
          <w:bCs/>
          <w:color w:val="2E5496"/>
          <w:sz w:val="28"/>
          <w:szCs w:val="28"/>
        </w:rPr>
        <w:t xml:space="preserve">15.3 Final Thoughts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MCA final year project has been a deeply educational experience, bridging theoretical computer science knowledge with practical application in one of the most consequential domains of real-world technology: healthcare financial management. The project required integrating knowledge from database management, data analytics, Python programming, cloud computing, software engineering, and healthcare domain expertise.</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RCM360 system analyzed in this report represents the current state of the art in Power BI-based healthcare analytics. Its architecture provides a solid foundation for future enhancements including AI/ML-based denial prediction, mobile extensions, IoT integration, and advanced denial management workflows.</w:t>
      </w:r>
    </w:p>
    <w:p>
      <w:pPr>
        <w:spacing w:after="60" w:before="6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Most significantly, RCM360 demonstrates that the combination of accessible BI tools (Microsoft Power BI), open-source ETL scripting (Python), and thoughtful KPI design can deliver enterprise-grade analytics capabilities to healthcare organizations of all sizes – not just the large systems with resources to invest in costly proprietary platforms. This democratization of healthcare analytics has the potential to meaningfully improve financial performance, reduce administrative waste, and ultimately support the sustainability of healthcare organizations that communities depend upon.</w:t>
      </w:r>
    </w:p>
    <w:p>
      <w:r>
        <w:br w:type="page"/>
      </w:r>
    </w:p>
    <w:p>
      <w:pPr>
        <w:spacing w:after="240" w:before="240"/>
        <w:jc w:val="center"/>
      </w:pPr>
      <w:r>
        <w:rPr>
          <w:rFonts w:ascii="Times New Roman" w:cs="Times New Roman" w:eastAsia="Times New Roman" w:hAnsi="Times New Roman"/>
          <w:b/>
          <w:bCs/>
          <w:color w:val="1F3864"/>
          <w:sz w:val="32"/>
          <w:szCs w:val="32"/>
        </w:rPr>
        <w:t xml:space="preserve">REFERENCES</w:t>
      </w:r>
    </w:p>
    <w:p>
      <w:pPr>
        <w:pStyle w:val="Heading2"/>
        <w:spacing w:after="80" w:before="180"/>
      </w:pPr>
      <w:r>
        <w:rPr>
          <w:rFonts w:ascii="Times New Roman" w:cs="Times New Roman" w:eastAsia="Times New Roman" w:hAnsi="Times New Roman"/>
          <w:b/>
          <w:bCs/>
          <w:color w:val="2E5496"/>
          <w:sz w:val="28"/>
          <w:szCs w:val="28"/>
        </w:rPr>
        <w:t xml:space="preserve">Books &amp; Journals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 Kaplan, R. S., &amp; Harris-Salamone, K. D. (2009). Health care costs at the crossroads: Finding value-based solutions. Health Affairs, 28(4), w464–w476.</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[2] Simpao, A. F., Ahumada, L. M., Galvez, J. A., &amp; Rehman, M. A. (2014). A review of analytics and clinical informatics in health care. Journal of Medical Systems, 38(4), 45.</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[3] Dowding, D., Randell, R., Gardner, P., Fitzpatrick, G., Dykes, P., Favela, J., ... &amp; Currie, L. (2015). Dashboards for improving patient care: Review of the literature. International Journal of Medical Informatics, 84(2), 87–100.</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[4] Cleverley, W. O., &amp; Cleverley, J. O. (2018). Essentials of Health Care Finance (8th ed.). Jones &amp; Bartlett Learning.</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[5] McLaughlin, D. B., &amp; Olson, J. R. (2017). Healthcare Operations Management (3rd ed.). Health Administration Press.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[6] Ferrari, A., &amp; Russo, M. (2015). The Definitive Guide to DAX: Business Intelligence for Microsoft Power BI, SQL Server Analysis Services, and Excel. Microsoft Press.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[7] Microsoft Corporation. (2024). Power BI Documentation. Retrieved from https://docs.microsoft.com/en-us/power-bi/</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[8] American Academy of Professional Coders (AAPC). (2023). Medical Billing and Coding Reference Guide. AAPC Publishing.</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[9] McKinney, W. (2022). Python for Data Analysis (3rd ed.). O'Reilly Media.</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[10] Healthcare Financial Management Association (HFMA). (2023). Revenue Cycle Benchmarking Report. HFMA Publications.</w:t>
      </w:r>
    </w:p>
    <w:p>
      <w:pPr>
        <w:pStyle w:val="Heading2"/>
        <w:spacing w:after="80" w:before="180"/>
      </w:pPr>
      <w:r>
        <w:rPr>
          <w:rFonts w:ascii="Times New Roman" w:cs="Times New Roman" w:eastAsia="Times New Roman" w:hAnsi="Times New Roman"/>
          <w:b/>
          <w:bCs/>
          <w:color w:val="2E5496"/>
          <w:sz w:val="28"/>
          <w:szCs w:val="28"/>
        </w:rPr>
        <w:t xml:space="preserve">Datasets &amp; Tools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[11] EPIC Systems Corporation. (2024). EPIC EHR Appointment Export Documentation. EPIC Systems.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[12] Office Ally. (2024). Practice Management System and Claims Clearinghouse User Documentation. Office Ally Inc.</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[13] Centers for Medicare &amp; Medicaid Services (CMS). (2024). Electronic Remittance Advice (ERA) 835 Transaction Standard. CMS.gov.</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[14] IDS Infotech Ltd. (2025). RCM360 Dashboard – Knowledge Transfer (KT) Document. IDS Infotech Ltd. Internal Document.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[15] Microsoft Corporation. (2024). Power BI Desktop Download and Documentation. Microsoft.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[16] Python Software Foundation. (2024). Python 3.x Documentation. Python.org.</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[17] McKinney, W. &amp; contributors. (2024). pandas: Powerful Python Data Analysis Toolkit. PyPI/pandas.pydata.org.</w:t>
      </w:r>
    </w:p>
    <w:p>
      <w:r>
        <w:br w:type="page"/>
      </w:r>
    </w:p>
    <w:p>
      <w:pPr>
        <w:spacing w:after="240" w:before="240"/>
        <w:jc w:val="center"/>
      </w:pPr>
      <w:r>
        <w:rPr>
          <w:rFonts w:ascii="Times New Roman" w:cs="Times New Roman" w:eastAsia="Times New Roman" w:hAnsi="Times New Roman"/>
          <w:b/>
          <w:bCs/>
          <w:color w:val="1F3864"/>
          <w:sz w:val="32"/>
          <w:szCs w:val="32"/>
        </w:rPr>
        <w:t xml:space="preserve">APPENDICES</w:t>
      </w:r>
    </w:p>
    <w:p>
      <w:pPr>
        <w:pStyle w:val="Heading2"/>
        <w:spacing w:after="80" w:before="180"/>
      </w:pPr>
      <w:r>
        <w:rPr>
          <w:rFonts w:ascii="Times New Roman" w:cs="Times New Roman" w:eastAsia="Times New Roman" w:hAnsi="Times New Roman"/>
          <w:b/>
          <w:bCs/>
          <w:color w:val="2E5496"/>
          <w:sz w:val="28"/>
          <w:szCs w:val="28"/>
        </w:rPr>
        <w:t xml:space="preserve">Appendix A: Dashboard Page Structure Reference</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A.1 – Dashboard Navigation Structure</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rPr>
          <w:tblHeader/>
        </w:trPr>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w:t>
            </w:r>
          </w:p>
        </w:tc>
        <w:tc>
          <w:tcPr>
            <w:tcW w:type="dxa" w:w="25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Primary Users</w:t>
            </w:r>
          </w:p>
        </w:tc>
        <w:tc>
          <w:tcPr>
            <w:tcW w:type="dxa" w:w="46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Key Purpose</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Patient View</w:t>
            </w:r>
          </w:p>
        </w:tc>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Admin Staff, Clinic Owners</w:t>
            </w:r>
          </w:p>
        </w:tc>
        <w:tc>
          <w:tcPr>
            <w:tcW w:type="dxa" w:w="46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Top-level appointment snapshot, cancellation/no-show/seen KPIs, slot utilization</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Patient Description</w:t>
            </w:r>
          </w:p>
        </w:tc>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 Staff, Billing Teams</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Individual appointment drill-down, status filtering, yearly trend</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Appointment Report</w:t>
            </w:r>
          </w:p>
        </w:tc>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Providers, Managers</w:t>
            </w:r>
          </w:p>
        </w:tc>
        <w:tc>
          <w:tcPr>
            <w:tcW w:type="dxa" w:w="46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Provider/location performance, appointment type distribution, slot utilization</w:t>
            </w:r>
          </w:p>
        </w:tc>
      </w:tr>
      <w:tr>
        <w:tc>
          <w:tcPr>
            <w:tcW w:type="dxa" w:w="2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Submission Report</w:t>
            </w:r>
          </w:p>
        </w:tc>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Billing Teams</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CPT submission analysis, billing timeliness, unsubmitted visit detection</w:t>
            </w:r>
          </w:p>
        </w:tc>
      </w:tr>
      <w:tr>
        <w:tc>
          <w:tcPr>
            <w:tcW w:type="dxa" w:w="216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Payment Report</w:t>
            </w:r>
          </w:p>
        </w:tc>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Finance, Revenue Cycle Managers</w:t>
            </w:r>
          </w:p>
        </w:tc>
        <w:tc>
          <w:tcPr>
            <w:tcW w:type="dxa" w:w="468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Payment collection analysis, payer benchmarking, payment status distribution</w:t>
            </w:r>
          </w:p>
        </w:tc>
      </w:tr>
    </w:tbl>
    <w:p>
      <w:pPr>
        <w:pStyle w:val="Heading2"/>
        <w:spacing w:after="80" w:before="180"/>
      </w:pPr>
      <w:r>
        <w:rPr>
          <w:rFonts w:ascii="Times New Roman" w:cs="Times New Roman" w:eastAsia="Times New Roman" w:hAnsi="Times New Roman"/>
          <w:b/>
          <w:bCs/>
          <w:color w:val="2E5496"/>
          <w:sz w:val="28"/>
          <w:szCs w:val="28"/>
        </w:rPr>
        <w:t xml:space="preserve">Appendix B: Sample Data Tables</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B.1 – Sample Appointment Dataset (First 10 Records)</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90"/>
        <w:gridCol w:w="1890"/>
        <w:gridCol w:w="720"/>
        <w:gridCol w:w="1350"/>
        <w:gridCol w:w="720"/>
      </w:tblGrid>
      <w:tr>
        <w:trPr>
          <w:tblHeader/>
        </w:trPr>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Patient Name</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DOB</w:t>
            </w:r>
          </w:p>
        </w:tc>
        <w:tc>
          <w:tcPr>
            <w:tcW w:type="dxa" w:w="99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Service Date</w:t>
            </w:r>
          </w:p>
        </w:tc>
        <w:tc>
          <w:tcPr>
            <w:tcW w:type="dxa" w:w="189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Provider</w:t>
            </w:r>
          </w:p>
        </w:tc>
        <w:tc>
          <w:tcPr>
            <w:tcW w:type="dxa" w:w="7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c>
          <w:tcPr>
            <w:tcW w:type="dxa" w:w="135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Type</w:t>
            </w:r>
          </w:p>
        </w:tc>
        <w:tc>
          <w:tcPr>
            <w:tcW w:type="dxa" w:w="7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Location</w:t>
            </w:r>
          </w:p>
        </w:tc>
      </w:tr>
      <w:tr>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Abbott, Diane</w:t>
            </w:r>
          </w:p>
        </w:tc>
        <w:tc>
          <w:tcPr>
            <w:tcW w:type="dxa" w:w="9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3/21/1945</w:t>
            </w:r>
          </w:p>
        </w:tc>
        <w:tc>
          <w:tcPr>
            <w:tcW w:type="dxa" w:w="9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8/12/2022</w:t>
            </w:r>
          </w:p>
        </w:tc>
        <w:tc>
          <w:tcPr>
            <w:tcW w:type="dxa" w:w="18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Montarella, Amberlee</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Comp</w:t>
            </w:r>
          </w:p>
        </w:tc>
        <w:tc>
          <w:tcPr>
            <w:tcW w:type="dxa" w:w="135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Follow Up [1997]</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HAY</w:t>
            </w:r>
          </w:p>
        </w:tc>
      </w:tr>
      <w:tr>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Smith, John</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6/14/1960</w:t>
            </w:r>
          </w:p>
        </w:tc>
        <w:tc>
          <w:tcPr>
            <w:tcW w:type="dxa" w:w="9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8/13/2022</w:t>
            </w:r>
          </w:p>
        </w:tc>
        <w:tc>
          <w:tcPr>
            <w:tcW w:type="dxa" w:w="18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Montarella, Amberlee</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w:t>
            </w:r>
          </w:p>
        </w:tc>
        <w:tc>
          <w:tcPr>
            <w:tcW w:type="dxa" w:w="13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New Patient [1001]</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HAY</w:t>
            </w:r>
          </w:p>
        </w:tc>
      </w:tr>
      <w:tr>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Johnson, Mary</w:t>
            </w:r>
          </w:p>
        </w:tc>
        <w:tc>
          <w:tcPr>
            <w:tcW w:type="dxa" w:w="9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11/3/1978</w:t>
            </w:r>
          </w:p>
        </w:tc>
        <w:tc>
          <w:tcPr>
            <w:tcW w:type="dxa" w:w="9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8/13/2022</w:t>
            </w:r>
          </w:p>
        </w:tc>
        <w:tc>
          <w:tcPr>
            <w:tcW w:type="dxa" w:w="18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Williams, Robert</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Seen</w:t>
            </w:r>
          </w:p>
        </w:tc>
        <w:tc>
          <w:tcPr>
            <w:tcW w:type="dxa" w:w="135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Annual Wellness [1050]</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FRE</w:t>
            </w:r>
          </w:p>
        </w:tc>
      </w:tr>
      <w:tr>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Davis, Carol</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2/28/1955</w:t>
            </w:r>
          </w:p>
        </w:tc>
        <w:tc>
          <w:tcPr>
            <w:tcW w:type="dxa" w:w="9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8/14/2022</w:t>
            </w:r>
          </w:p>
        </w:tc>
        <w:tc>
          <w:tcPr>
            <w:tcW w:type="dxa" w:w="18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Williams, Robert</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Show</w:t>
            </w:r>
          </w:p>
        </w:tc>
        <w:tc>
          <w:tcPr>
            <w:tcW w:type="dxa" w:w="13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Follow Up [1997]</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HAY</w:t>
            </w:r>
          </w:p>
        </w:tc>
      </w:tr>
      <w:tr>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Wilson, James</w:t>
            </w:r>
          </w:p>
        </w:tc>
        <w:tc>
          <w:tcPr>
            <w:tcW w:type="dxa" w:w="9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9/15/1990</w:t>
            </w:r>
          </w:p>
        </w:tc>
        <w:tc>
          <w:tcPr>
            <w:tcW w:type="dxa" w:w="9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8/15/2022</w:t>
            </w:r>
          </w:p>
        </w:tc>
        <w:tc>
          <w:tcPr>
            <w:tcW w:type="dxa" w:w="18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Garcia, Maria</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Comp</w:t>
            </w:r>
          </w:p>
        </w:tc>
        <w:tc>
          <w:tcPr>
            <w:tcW w:type="dxa" w:w="135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Follow Up Video [1997]</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FRE</w:t>
            </w:r>
          </w:p>
        </w:tc>
      </w:tr>
      <w:tr>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Brown, Lisa</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4/7/1948</w:t>
            </w:r>
          </w:p>
        </w:tc>
        <w:tc>
          <w:tcPr>
            <w:tcW w:type="dxa" w:w="9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8/15/2022</w:t>
            </w:r>
          </w:p>
        </w:tc>
        <w:tc>
          <w:tcPr>
            <w:tcW w:type="dxa" w:w="18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Garcia, Maria</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Seen</w:t>
            </w:r>
          </w:p>
        </w:tc>
        <w:tc>
          <w:tcPr>
            <w:tcW w:type="dxa" w:w="13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New Patient [1001]</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HAY</w:t>
            </w:r>
          </w:p>
        </w:tc>
      </w:tr>
      <w:tr>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Taylor, Robert</w:t>
            </w:r>
          </w:p>
        </w:tc>
        <w:tc>
          <w:tcPr>
            <w:tcW w:type="dxa" w:w="9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12/22/1967</w:t>
            </w:r>
          </w:p>
        </w:tc>
        <w:tc>
          <w:tcPr>
            <w:tcW w:type="dxa" w:w="9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8/16/2022</w:t>
            </w:r>
          </w:p>
        </w:tc>
        <w:tc>
          <w:tcPr>
            <w:tcW w:type="dxa" w:w="18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Montarella, Amberlee</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Can</w:t>
            </w:r>
          </w:p>
        </w:tc>
        <w:tc>
          <w:tcPr>
            <w:tcW w:type="dxa" w:w="135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Annual Wellness [1050]</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FRE</w:t>
            </w:r>
          </w:p>
        </w:tc>
      </w:tr>
      <w:tr>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Anderson, Susan</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8/31/1982</w:t>
            </w:r>
          </w:p>
        </w:tc>
        <w:tc>
          <w:tcPr>
            <w:tcW w:type="dxa" w:w="9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8/16/2022</w:t>
            </w:r>
          </w:p>
        </w:tc>
        <w:tc>
          <w:tcPr>
            <w:tcW w:type="dxa" w:w="18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Williams, Robert</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Comp</w:t>
            </w:r>
          </w:p>
        </w:tc>
        <w:tc>
          <w:tcPr>
            <w:tcW w:type="dxa" w:w="13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Follow Up [1997]</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HAY</w:t>
            </w:r>
          </w:p>
        </w:tc>
      </w:tr>
      <w:tr>
        <w:tc>
          <w:tcPr>
            <w:tcW w:type="dxa" w:w="16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Martinez, Carlos</w:t>
            </w:r>
          </w:p>
        </w:tc>
        <w:tc>
          <w:tcPr>
            <w:tcW w:type="dxa" w:w="90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5/19/1973</w:t>
            </w:r>
          </w:p>
        </w:tc>
        <w:tc>
          <w:tcPr>
            <w:tcW w:type="dxa" w:w="9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8/17/2022</w:t>
            </w:r>
          </w:p>
        </w:tc>
        <w:tc>
          <w:tcPr>
            <w:tcW w:type="dxa" w:w="189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Garcia, Maria</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No Show</w:t>
            </w:r>
          </w:p>
        </w:tc>
        <w:tc>
          <w:tcPr>
            <w:tcW w:type="dxa" w:w="135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New Patient [1001]</w:t>
            </w:r>
          </w:p>
        </w:tc>
        <w:tc>
          <w:tcPr>
            <w:tcW w:type="dxa" w:w="7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HAY</w:t>
            </w:r>
          </w:p>
        </w:tc>
      </w:tr>
      <w:tr>
        <w:tc>
          <w:tcPr>
            <w:tcW w:type="dxa" w:w="16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Thompson, Patricia</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7/4/1951</w:t>
            </w:r>
          </w:p>
        </w:tc>
        <w:tc>
          <w:tcPr>
            <w:tcW w:type="dxa" w:w="9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8/17/2022</w:t>
            </w:r>
          </w:p>
        </w:tc>
        <w:tc>
          <w:tcPr>
            <w:tcW w:type="dxa" w:w="189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Montarella, Amberlee</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Seen</w:t>
            </w:r>
          </w:p>
        </w:tc>
        <w:tc>
          <w:tcPr>
            <w:tcW w:type="dxa" w:w="13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Follow Up Video [1997]</w:t>
            </w:r>
          </w:p>
        </w:tc>
        <w:tc>
          <w:tcPr>
            <w:tcW w:type="dxa" w:w="7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FRE</w:t>
            </w:r>
          </w:p>
        </w:tc>
      </w:tr>
    </w:tbl>
    <w:p>
      <w:pPr>
        <w:pStyle w:val="Heading2"/>
        <w:spacing w:after="80" w:before="180"/>
      </w:pPr>
      <w:r>
        <w:rPr>
          <w:rFonts w:ascii="Times New Roman" w:cs="Times New Roman" w:eastAsia="Times New Roman" w:hAnsi="Times New Roman"/>
          <w:b/>
          <w:bCs/>
          <w:color w:val="2E5496"/>
          <w:sz w:val="28"/>
          <w:szCs w:val="28"/>
        </w:rPr>
        <w:t xml:space="preserve">Appendix C: Glossary of Terms</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Term</w:t>
            </w:r>
          </w:p>
        </w:tc>
        <w:tc>
          <w:tcPr>
            <w:tcW w:type="dxa" w:w="68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Definition</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AR (Accounts Receivable)</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Money owed to a healthcare provider for services rendered but not yet paid.</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CARC</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Claim Adjustment Reason Code – standardized codes used in ERAs to explain payment adjustments.</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CPT Code</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Current Procedural Terminology – standardized medical procedure billing codes maintained by the AMA.</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DAX</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Data Analysis Expressions – formula language used in Power BI for creating calculated columns and measures.</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Denial</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 payer's refusal to reimburse a claim, requiring investigation and potential resubmission.</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ERA</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Electronic Remittance Advice – electronic payment explanation document generated by payers (HIPAA 835 standard).</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ETL</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Extract, Transform, Load – the data pipeline process of extracting data from sources, transforming it, and loading it into a target system.</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ICD Code</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International Classification of Diseases – standardized diagnosis codes used in medical billing.</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KPI</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Key Performance Indicator – a measurable value that demonstrates how effectively an organization achieves objectives.</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Power BI</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Microsoft's Business Intelligence platform for data visualization, analytics, and report sharing.</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RARC</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Remittance Advice Remark Code – supplementary codes that provide additional explanation in ERAs.</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RCM</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Revenue Cycle Management – the financial process tracking patient care from scheduling to final payment.</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RLS</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Row-Level Security – Power BI feature that restricts data access based on user role.</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Slot Utilization</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Percentage of available scheduling slots that are booked with appointments.</w:t>
            </w:r>
          </w:p>
        </w:tc>
      </w:tr>
      <w:tr>
        <w:tc>
          <w:tcPr>
            <w:tcW w:type="dxa" w:w="252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Star Schema</w:t>
            </w:r>
          </w:p>
        </w:tc>
        <w:tc>
          <w:tcPr>
            <w:tcW w:type="dxa" w:w="6840"/>
            <w:tcBorders>
              <w:top w:val="single" w:color="999999" w:sz="1"/>
              <w:left w:val="single" w:color="999999" w:sz="1"/>
              <w:bottom w:val="single" w:color="999999" w:sz="1"/>
              <w:right w:val="single" w:color="999999" w:sz="1"/>
            </w:tcBorders>
            <w:shd w:fill="EEF2F8" w:val="clear"/>
            <w:tcMar>
              <w:top w:type="dxa" w:w="80"/>
              <w:left w:type="dxa" w:w="120"/>
              <w:bottom w:type="dxa" w:w="80"/>
              <w:right w:type="dxa" w:w="120"/>
            </w:tcMar>
          </w:tcPr>
          <w:p>
            <w:r>
              <w:rPr>
                <w:rFonts w:ascii="Times New Roman" w:cs="Times New Roman" w:eastAsia="Times New Roman" w:hAnsi="Times New Roman"/>
                <w:sz w:val="20"/>
                <w:szCs w:val="20"/>
              </w:rPr>
              <w:t xml:space="preserve">A database design pattern with a central fact table connected to multiple dimension tables.</w:t>
            </w:r>
          </w:p>
        </w:tc>
      </w:tr>
      <w:tr>
        <w:tc>
          <w:tcPr>
            <w:tcW w:type="dxa" w:w="25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Unsubmitted Visit</w:t>
            </w:r>
          </w:p>
        </w:tc>
        <w:tc>
          <w:tcPr>
            <w:tcW w:type="dxa" w:w="68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An appointment with a 'Seen' status in EPIC that has no corresponding claim submission in Office Ally.</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Times New Roman" w:cs="Times New Roman" w:eastAsia="Times New Roman" w:hAnsi="Times New Roman"/>
        <w:color w:val="666666"/>
        <w:sz w:val="18"/>
        <w:szCs w:val="18"/>
      </w:rPr>
      <w:t xml:space="preserve">MCA Final Year Project Report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Times New Roman" w:cs="Times New Roman" w:eastAsia="Times New Roman" w:hAnsi="Times New Roman"/>
        <w:color w:val="666666"/>
        <w:sz w:val="18"/>
        <w:szCs w:val="18"/>
      </w:rPr>
      <w:t xml:space="preserve">RCM360: Healthcare Revenue Cycle Management Analytics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2026-06-16T05:22:03.072Z</dcterms:created>
  <dcterms:modified xsi:type="dcterms:W3CDTF">2026-06-16T05:22:03.088Z</dcterms:modified>
</cp:coreProperties>
</file>

<file path=docProps/custom.xml><?xml version="1.0" encoding="utf-8"?>
<Properties xmlns="http://schemas.openxmlformats.org/officeDocument/2006/custom-properties" xmlns:vt="http://schemas.openxmlformats.org/officeDocument/2006/docPropsVTypes"/>
</file>