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Contribution Report: Probabilistic Volatility Modeling</w:t>
      </w:r>
    </w:p>
    <w:p>
      <w:pPr>
        <w:pStyle w:val="Heading1"/>
      </w:pPr>
      <w:r>
        <w:t>1. Introduction and Objectives</w:t>
      </w:r>
    </w:p>
    <w:p>
      <w:r>
        <w:t xml:space="preserve">The primary objective of this individual contribution was to introduce a robust </w:t>
      </w:r>
      <w:r>
        <w:rPr>
          <w:b/>
        </w:rPr>
        <w:t>probabilistic risk assessment model</w:t>
      </w:r>
      <w:r>
        <w:t xml:space="preserve"> to the Sri Lankan tea production forecasting framework. While the core predictive architecture—utilizing SARIMAX for total market sizing and CatBoost for market share distribution—provides highly accurate deterministic "Expected Values," agriculture is inherently vulnerable to unpredictable exogenous forces, particularly climate volatility.</w:t>
        <w:br/>
        <w:br/>
      </w:r>
      <w:r>
        <w:t xml:space="preserve">This contribution bridges that critical gap by implementing a </w:t>
      </w:r>
      <w:r>
        <w:rPr>
          <w:b/>
        </w:rPr>
        <w:t>Scenario-Based Monte Carlo Simulation Engine</w:t>
      </w:r>
      <w:r>
        <w:t>. Rather than outputting a single static forecast, this module evaluates structural risk limit exposures by running 500 localized, simulated realities to analyze uncertainty and climate sensitivity in tea yields.</w:t>
      </w:r>
    </w:p>
    <w:p>
      <w:pPr>
        <w:pStyle w:val="Heading1"/>
      </w:pPr>
      <w:r>
        <w:t>2. Methodology &amp; Technical Implementation</w:t>
      </w:r>
    </w:p>
    <w:p>
      <w:r>
        <w:t>The custom Monte Carlo engine was built using purely structural mathematics and layered natively on top of the pre-trained overarching SARIMAX and CatBoost infrastructure to ensure consistent logic flow. The technical execution involves:</w:t>
        <w:br/>
      </w:r>
      <w:r>
        <w:rPr>
          <w:b/>
        </w:rPr>
        <w:t>1. Baseline Extraction:</w:t>
      </w:r>
      <w:r>
        <w:t xml:space="preserve"> The system algorithmically queries historical structural means (Rainfall, Humidity, Temperature) corresponding to the user's specific target elevation, tea variety, and timeline phase.</w:t>
        <w:br/>
      </w:r>
      <w:r>
        <w:rPr>
          <w:b/>
        </w:rPr>
        <w:t>2. Scenario Mutation Rules:</w:t>
      </w:r>
      <w:r>
        <w:t xml:space="preserve"> Users can artificially stress-test the pipeline by selecting predefined climate mutations:</w:t>
        <w:br/>
      </w:r>
      <w:r>
        <w:t xml:space="preserve">   - Normal (Baseline): Operates securely within standard historical variance.</w:t>
        <w:br/>
      </w:r>
      <w:r>
        <w:t xml:space="preserve">   - Dry &amp; Hot: Temperature artificially increased; rainfall and humidity structurally reduced.</w:t>
        <w:br/>
      </w:r>
      <w:r>
        <w:t xml:space="preserve">   - Monsoon / Wet: Rainfall boundary dramatically increased; humidity spiked; temperature lowered.</w:t>
        <w:br/>
      </w:r>
      <w:r>
        <w:rPr>
          <w:b/>
        </w:rPr>
        <w:t>3. Gaussian Vector Generation:</w:t>
      </w:r>
      <w:r>
        <w:t xml:space="preserve"> The engine natively scales the mutated baseline variance, utilizing numpy.random.normal arrays to automatically generate 500 statistically probable climatic combinations perfectly mirroring the selected scenario constraints.</w:t>
        <w:br/>
      </w:r>
      <w:r>
        <w:rPr>
          <w:b/>
        </w:rPr>
        <w:t>4. Synchronized Predictive Routing:</w:t>
      </w:r>
      <w:r>
        <w:t xml:space="preserve"> The 500 mutated input sequences are instantly fed into the CatBoost vector matrix to isolate share dependencies, while also sequentially looping through the SARIMAX equations to predict macro aggregate size.</w:t>
        <w:br/>
      </w:r>
      <w:r>
        <w:rPr>
          <w:b/>
        </w:rPr>
        <w:t>5. Yield Probability Fusion:</w:t>
      </w:r>
      <w:r>
        <w:t xml:space="preserve"> The macroscopic total vectors and microscopic specific share vectors are computationally merged to derive the final output spread, rigorously enforcing structural zero-yield constraints where applicable.</w:t>
      </w:r>
    </w:p>
    <w:p>
      <w:pPr>
        <w:pStyle w:val="Heading1"/>
      </w:pPr>
      <w:r>
        <w:t>3. Analytical Results &amp; Business Value</w:t>
      </w:r>
    </w:p>
    <w:p>
      <w:r>
        <w:t>The mathematical derivation is synthesized into highly actionable visual interfaces on the dashboard:</w:t>
        <w:br/>
      </w:r>
      <w:r>
        <w:rPr>
          <w:b/>
        </w:rPr>
        <w:t>- Statistical Volatility Matrix:</w:t>
      </w:r>
      <w:r>
        <w:t xml:space="preserve"> A dense Plotly histogram layered with marginal box plots to visualize the entire frequency distribution of the computationally derived yields.</w:t>
        <w:br/>
      </w:r>
      <w:r>
        <w:rPr>
          <w:b/>
        </w:rPr>
        <w:t>- Financial Risk Readout:</w:t>
      </w:r>
      <w:r>
        <w:t xml:space="preserve"> A financialized metric tier precisely tracking:</w:t>
        <w:br/>
      </w:r>
      <w:r>
        <w:t xml:space="preserve">   - Predicted Mean Target: The central, most probable expected yield parameter.</w:t>
        <w:br/>
      </w:r>
      <w:r>
        <w:t xml:space="preserve">   - Worst Case Bound (5%): The 5th percentile mathematical floor, highlighting extreme downside production risk.</w:t>
        <w:br/>
      </w:r>
      <w:r>
        <w:t xml:space="preserve">   - Best Case Bound (95%): The 95th percentile ceiling, tracking optimal biological upside potential.</w:t>
        <w:br/>
        <w:br/>
      </w:r>
      <w:r>
        <w:t>By moving beyond standard generic forecasting, this individual contribution explicitly exposes physical agricultural risk, allowing stakeholders to easily quantify exactly how violently localized climate shocks could financially impact their specific sector limits.</w:t>
      </w:r>
    </w:p>
    <w:p>
      <w:pPr>
        <w:pStyle w:val="Heading1"/>
      </w:pPr>
      <w:r>
        <w:t>4. Dashboard Implementation Screenshot</w:t>
      </w:r>
    </w:p>
    <w:p>
      <w:r>
        <w:rPr>
          <w:b/>
        </w:rPr>
        <w:t xml:space="preserve">[INSTRUCTION FOR STUDENT]: </w:t>
      </w:r>
      <w:r>
        <w:t>Please insert a screenshot of the "Monte Carlo Scenario" page from your Streamlit app running the 500-Iteration Simulation below, replacing this text block.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