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8484" w14:textId="69E1CA22" w:rsidR="00324C4F" w:rsidRPr="00191195" w:rsidRDefault="00191195" w:rsidP="00191195">
      <w:pPr>
        <w:tabs>
          <w:tab w:val="left" w:pos="744"/>
          <w:tab w:val="right" w:pos="10080"/>
        </w:tabs>
        <w:rPr>
          <w:b/>
          <w:bCs/>
        </w:rPr>
      </w:pPr>
      <w:r w:rsidRPr="00191195">
        <w:rPr>
          <w:b/>
          <w:bCs/>
        </w:rPr>
        <w:t>Rashmitha Nilum-s16825</w:t>
      </w:r>
      <w:r w:rsidRPr="00191195">
        <w:rPr>
          <w:b/>
          <w:bCs/>
        </w:rPr>
        <w:tab/>
      </w:r>
    </w:p>
    <w:p w14:paraId="217C08D5" w14:textId="385DF186" w:rsidR="00324C4F" w:rsidRPr="00324C4F" w:rsidRDefault="00324C4F">
      <w:pPr>
        <w:pStyle w:val="Heading1"/>
        <w:rPr>
          <w:sz w:val="40"/>
          <w:szCs w:val="40"/>
        </w:rPr>
      </w:pPr>
      <w:r w:rsidRPr="00324C4F">
        <w:rPr>
          <w:sz w:val="40"/>
          <w:szCs w:val="40"/>
        </w:rPr>
        <w:t>Individual Contribution: Probabilistic Volatility Modeling</w:t>
      </w:r>
    </w:p>
    <w:p w14:paraId="65EE8F0A" w14:textId="789905AF" w:rsidR="0098697B" w:rsidRDefault="00000000">
      <w:pPr>
        <w:pStyle w:val="Heading1"/>
      </w:pPr>
      <w:r>
        <w:t>1. Introduction</w:t>
      </w:r>
    </w:p>
    <w:p w14:paraId="0BF254DE" w14:textId="77777777" w:rsidR="0098697B" w:rsidRDefault="00000000">
      <w:r>
        <w:t>The objective was to introduce a probabilistic risk model to the tea forecasting framework. While core models (SARIMAX and CatBoost) provide expected values, agriculture is vulnerable to climate volatility. This module implements a Monte Carlo Engine that evaluates structural risk by running 500 simulated realities.</w:t>
      </w:r>
    </w:p>
    <w:p w14:paraId="6AAE8124" w14:textId="77777777" w:rsidR="0098697B" w:rsidRDefault="00000000">
      <w:pPr>
        <w:pStyle w:val="Heading1"/>
      </w:pPr>
      <w:r>
        <w:t>2. Methodology</w:t>
      </w:r>
    </w:p>
    <w:p w14:paraId="439D40A2" w14:textId="77777777" w:rsidR="0098697B" w:rsidRDefault="00000000">
      <w:r>
        <w:t>The Monte Carlo engine is layered natively on the existing models:</w:t>
      </w:r>
    </w:p>
    <w:p w14:paraId="02C558AD" w14:textId="77777777" w:rsidR="0098697B" w:rsidRDefault="00000000">
      <w:pPr>
        <w:pStyle w:val="ListBullet"/>
        <w:spacing w:after="40"/>
      </w:pPr>
      <w:r>
        <w:t>Baseline Extraction: Queries historical climate means matching the target combo.</w:t>
      </w:r>
    </w:p>
    <w:p w14:paraId="67E7A5CF" w14:textId="77777777" w:rsidR="0098697B" w:rsidRDefault="00000000">
      <w:pPr>
        <w:pStyle w:val="ListBullet"/>
        <w:spacing w:after="40"/>
      </w:pPr>
      <w:r>
        <w:t>Scenario Mutations: Users stress-test parameters ("Dry &amp; Hot", "Monsoon").</w:t>
      </w:r>
    </w:p>
    <w:p w14:paraId="3CD0E28C" w14:textId="77777777" w:rsidR="0098697B" w:rsidRDefault="00000000">
      <w:pPr>
        <w:pStyle w:val="ListBullet"/>
        <w:spacing w:after="40"/>
      </w:pPr>
      <w:r>
        <w:t>Gaussian Generation: Uses mathematical arrays to generate 500 probable outcomes.</w:t>
      </w:r>
    </w:p>
    <w:p w14:paraId="348FF85D" w14:textId="77777777" w:rsidR="0098697B" w:rsidRDefault="00000000">
      <w:pPr>
        <w:pStyle w:val="ListBullet"/>
        <w:spacing w:after="40"/>
      </w:pPr>
      <w:r>
        <w:t>Predictive Routing: Feeds combinations through the CatBoost and SARIMAX pipeline.</w:t>
      </w:r>
    </w:p>
    <w:p w14:paraId="1237EA05" w14:textId="77777777" w:rsidR="0098697B" w:rsidRDefault="00000000">
      <w:pPr>
        <w:pStyle w:val="ListBullet"/>
        <w:spacing w:after="40"/>
      </w:pPr>
      <w:r>
        <w:t>Yield Fusion: Merges aggregate totals and specific shares to isolate final spread.</w:t>
      </w:r>
    </w:p>
    <w:p w14:paraId="06197A51" w14:textId="77777777" w:rsidR="0098697B" w:rsidRDefault="00000000">
      <w:pPr>
        <w:pStyle w:val="Heading1"/>
      </w:pPr>
      <w:r>
        <w:t>3. Results &amp; Business Value</w:t>
      </w:r>
    </w:p>
    <w:p w14:paraId="1A762741" w14:textId="77777777" w:rsidR="0098697B" w:rsidRDefault="00000000">
      <w:r>
        <w:t>The system provides actionable insights into agricultural risk exposure:</w:t>
      </w:r>
    </w:p>
    <w:p w14:paraId="41CCBA6F" w14:textId="77777777" w:rsidR="0098697B" w:rsidRDefault="00000000">
      <w:pPr>
        <w:pStyle w:val="ListBullet"/>
        <w:spacing w:after="40"/>
      </w:pPr>
      <w:r>
        <w:t>Volatility Matrix: A histogram visualizing the frequency distribution of all 500 yields.</w:t>
      </w:r>
    </w:p>
    <w:p w14:paraId="66191BA6" w14:textId="77777777" w:rsidR="0098697B" w:rsidRDefault="00000000">
      <w:pPr>
        <w:pStyle w:val="ListBullet"/>
        <w:spacing w:after="40"/>
      </w:pPr>
      <w:r>
        <w:t>Risk Readout: Tracks Expected Mean, Worst-Case (5% floor), and Best-Case (95% ceiling).</w:t>
      </w:r>
    </w:p>
    <w:p w14:paraId="6C469BA6" w14:textId="77777777" w:rsidR="0098697B" w:rsidRDefault="00000000">
      <w:pPr>
        <w:pStyle w:val="Heading1"/>
      </w:pPr>
      <w:r>
        <w:t>4. Screenshot Demonstration</w:t>
      </w:r>
    </w:p>
    <w:p w14:paraId="6BCE222B" w14:textId="37F20488" w:rsidR="0098697B" w:rsidRDefault="00324C4F">
      <w:r>
        <w:rPr>
          <w:noProof/>
        </w:rPr>
        <w:drawing>
          <wp:anchor distT="0" distB="0" distL="114300" distR="114300" simplePos="0" relativeHeight="251658240" behindDoc="1" locked="0" layoutInCell="1" allowOverlap="1" wp14:anchorId="5AA49744" wp14:editId="4D8722E4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6400800" cy="3018155"/>
            <wp:effectExtent l="0" t="0" r="0" b="0"/>
            <wp:wrapNone/>
            <wp:docPr id="177297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74937" name="Picture 17729749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697B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881105">
    <w:abstractNumId w:val="8"/>
  </w:num>
  <w:num w:numId="2" w16cid:durableId="1543402574">
    <w:abstractNumId w:val="6"/>
  </w:num>
  <w:num w:numId="3" w16cid:durableId="960645185">
    <w:abstractNumId w:val="5"/>
  </w:num>
  <w:num w:numId="4" w16cid:durableId="1576890124">
    <w:abstractNumId w:val="4"/>
  </w:num>
  <w:num w:numId="5" w16cid:durableId="451748177">
    <w:abstractNumId w:val="7"/>
  </w:num>
  <w:num w:numId="6" w16cid:durableId="1288658616">
    <w:abstractNumId w:val="3"/>
  </w:num>
  <w:num w:numId="7" w16cid:durableId="399526593">
    <w:abstractNumId w:val="2"/>
  </w:num>
  <w:num w:numId="8" w16cid:durableId="974918769">
    <w:abstractNumId w:val="1"/>
  </w:num>
  <w:num w:numId="9" w16cid:durableId="137523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195"/>
    <w:rsid w:val="0029639D"/>
    <w:rsid w:val="00324C4F"/>
    <w:rsid w:val="00326F90"/>
    <w:rsid w:val="004249F2"/>
    <w:rsid w:val="009869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3603F"/>
  <w14:defaultImageDpi w14:val="300"/>
  <w15:docId w15:val="{3D670EFB-EC52-448C-9267-60171E28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Alawattage  Rashmitha</cp:lastModifiedBy>
  <cp:revision>3</cp:revision>
  <dcterms:created xsi:type="dcterms:W3CDTF">2013-12-23T23:15:00Z</dcterms:created>
  <dcterms:modified xsi:type="dcterms:W3CDTF">2026-03-30T06:53:00Z</dcterms:modified>
  <cp:category/>
</cp:coreProperties>
</file>