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Comorbidity-Cluster Knowledge Base (Cross-Disease)</w:t>
      </w:r>
    </w:p>
    <w:p>
      <w:pPr>
        <w:spacing w:after="300"/>
      </w:pPr>
      <w:r>
        <w:rPr>
          <w:b/>
          <w:bCs/>
        </w:rPr>
        <w:t xml:space="preserve">Group Members: </w:t>
      </w:r>
      <w:r>
        <w:t xml:space="preserve">Utkarsh Garg, Yash Sinha, Rashi Kushwaha</w:t>
      </w:r>
    </w:p>
    <w:p>
      <w:pPr>
        <w:pStyle w:val="Heading1"/>
      </w:pPr>
      <w:r>
        <w:t xml:space="preserve">1. Project Title</w:t>
      </w:r>
    </w:p>
    <w:p>
      <w:pPr>
        <w:spacing w:after="200"/>
      </w:pPr>
      <w:r>
        <w:t xml:space="preserve">Comorbidity-Cluster Knowledge Base (Cross-Disease): Gene Expression and Pathway Overlap Analysis Across Related Metabolic Disorders</w:t>
      </w:r>
    </w:p>
    <w:p>
      <w:pPr>
        <w:pStyle w:val="Heading1"/>
      </w:pPr>
      <w:r>
        <w:t xml:space="preserve">2. Name of Group Members</w:t>
      </w:r>
    </w:p>
    <w:p>
      <w:pPr>
        <w:pStyle w:val="ListParagraph"/>
        <w:numPr>
          <w:ilvl w:val="0"/>
          <w:numId w:val="1"/>
        </w:numPr>
        <w:spacing w:after="120"/>
      </w:pPr>
      <w:r>
        <w:t xml:space="preserve">Utkarsh Garg</w:t>
      </w:r>
    </w:p>
    <w:p>
      <w:pPr>
        <w:pStyle w:val="ListParagraph"/>
        <w:numPr>
          <w:ilvl w:val="0"/>
          <w:numId w:val="1"/>
        </w:numPr>
        <w:spacing w:after="120"/>
      </w:pPr>
      <w:r>
        <w:t xml:space="preserve">Yash Sinha</w:t>
      </w:r>
    </w:p>
    <w:p>
      <w:pPr>
        <w:pStyle w:val="ListParagraph"/>
        <w:numPr>
          <w:ilvl w:val="0"/>
          <w:numId w:val="1"/>
        </w:numPr>
        <w:spacing w:after="120"/>
      </w:pPr>
      <w:r>
        <w:t xml:space="preserve">Rashi Kushwaha</w:t>
      </w:r>
    </w:p>
    <w:p>
      <w:pPr>
        <w:pStyle w:val="Heading1"/>
        <w:spacing w:before="200"/>
      </w:pPr>
      <w:r>
        <w:t xml:space="preserve">3. Methodology</w:t>
      </w:r>
    </w:p>
    <w:p>
      <w:pPr>
        <w:spacing w:after="200"/>
      </w:pPr>
      <w:r>
        <w:t xml:space="preserve">The project builds a shared-gene and shared-pathway knowledge base across a cluster of related, commonly co-occurring diseases — PCOS, Type 2 Diabetes (T2D), NAFLD (Non-Alcoholic Fatty Liver Disease), and Obesity — instead of studying each disease in isolation. Beyond static gene–disease associations, the knowledge base also captures how gene expression itself changes in each disease, so that shared genes can be evaluated for direction of dysregulation, not just presence.</w:t>
      </w:r>
    </w:p>
    <w:p>
      <w:pPr>
        <w:pStyle w:val="Heading2"/>
      </w:pPr>
      <w:r>
        <w:t xml:space="preserve">3.1 Data Sources</w:t>
      </w:r>
    </w:p>
    <w:p>
      <w:pPr>
        <w:pStyle w:val="ListParagraph"/>
        <w:numPr>
          <w:ilvl w:val="0"/>
          <w:numId w:val="1"/>
        </w:numPr>
        <w:spacing w:after="120"/>
      </w:pPr>
      <w:r>
        <w:t xml:space="preserve">Disease–Gene associations: Open Targets Platform (public GraphQL API, no authentication required). Each disease is resolved to its EFO ID, then queried for associated target genes with an association score.</w:t>
      </w:r>
    </w:p>
    <w:p>
      <w:pPr>
        <w:pStyle w:val="ListParagraph"/>
        <w:numPr>
          <w:ilvl w:val="0"/>
          <w:numId w:val="1"/>
        </w:numPr>
        <w:spacing w:after="120"/>
      </w:pPr>
      <w:r>
        <w:t xml:space="preserve">Gene–Pathway mappings: KEGG REST API. The full human gene→pathway link table is pulled once (rest.kegg.jp/link/pathway/hsa) and filtered locally to the genes returned in the previous step.</w:t>
      </w:r>
    </w:p>
    <w:p>
      <w:pPr>
        <w:pStyle w:val="ListParagraph"/>
        <w:numPr>
          <w:ilvl w:val="0"/>
          <w:numId w:val="1"/>
        </w:numPr>
        <w:spacing w:after="120"/>
      </w:pPr>
      <w:r>
        <w:t xml:space="preserve">Gene expression changes: NCBI Gene Expression Omnibus (GEO). One differential expression dataset per disease is used to determine whether each associated gene is up- or down-regulated relative to healthy controls (see 3.3).</w:t>
      </w:r>
    </w:p>
    <w:p>
      <w:pPr>
        <w:pStyle w:val="Heading2"/>
      </w:pPr>
      <w:r>
        <w:t xml:space="preserve">3.2 Database Schema</w:t>
      </w:r>
    </w:p>
    <w:p>
      <w:pPr>
        <w:spacing w:after="150"/>
      </w:pPr>
      <w:r>
        <w:t xml:space="preserve">Modeled as a property graph (Neo4j) with three entity-linking relationship types. The design follows patterns established by the Genomics Unified Schema (GUS — University of Pennsylvania), specifically its RAD (Resource for gene Expression Data) module, which models expression measurements as first-class, disease/study-linked records rather than static annotations. The cross-disease overlap itself is not stored directly; it is computed at query time from genes and pathways shared across Disease nodes.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8EAF6" w:val="clear"/>
          </w:tcPr>
          <w:p>
            <w:r>
              <w:rPr>
                <w:b/>
                <w:bCs/>
              </w:rPr>
              <w:t xml:space="preserve">Entity</w:t>
            </w:r>
          </w:p>
        </w:tc>
        <w:tc>
          <w:tcPr>
            <w:tcW w:type="dxa" w:w="6800"/>
            <w:shd w:fill="E8EAF6" w:val="clear"/>
          </w:tcPr>
          <w:p>
            <w:r>
              <w:rPr>
                <w:b/>
                <w:bCs/>
              </w:rPr>
              <w:t xml:space="preserve">Key fields</w:t>
            </w:r>
          </w:p>
        </w:tc>
      </w:tr>
      <w:tr>
        <w:tc>
          <w:tcPr>
            <w:tcW w:type="dxa" w:w="2200"/>
          </w:tcPr>
          <w:p>
            <w:r>
              <w:rPr>
                <w:b w:val="false"/>
                <w:bCs w:val="false"/>
              </w:rPr>
              <w:t xml:space="preserve">Disease</w:t>
            </w:r>
          </w:p>
        </w:tc>
        <w:tc>
          <w:tcPr>
            <w:tcW w:type="dxa" w:w="6800"/>
          </w:tcPr>
          <w:p>
            <w:r>
              <w:rPr>
                <w:b w:val="false"/>
                <w:bCs w:val="false"/>
              </w:rPr>
              <w:t xml:space="preserve">id, name (PCOS, T2D, NAFLD, Obesity), source_id (Open Targets EFO ID)</w:t>
            </w:r>
          </w:p>
        </w:tc>
      </w:tr>
      <w:tr>
        <w:tc>
          <w:tcPr>
            <w:tcW w:type="dxa" w:w="2200"/>
          </w:tcPr>
          <w:p>
            <w:r>
              <w:rPr>
                <w:b w:val="false"/>
                <w:bCs w:val="false"/>
              </w:rPr>
              <w:t xml:space="preserve">Gene</w:t>
            </w:r>
          </w:p>
        </w:tc>
        <w:tc>
          <w:tcPr>
            <w:tcW w:type="dxa" w:w="6800"/>
          </w:tcPr>
          <w:p>
            <w:r>
              <w:rPr>
                <w:b w:val="false"/>
                <w:bCs w:val="false"/>
              </w:rPr>
              <w:t xml:space="preserve">id, symbol (e.g. INSR), entrez_id</w:t>
            </w:r>
          </w:p>
        </w:tc>
      </w:tr>
      <w:tr>
        <w:tc>
          <w:tcPr>
            <w:tcW w:type="dxa" w:w="2200"/>
          </w:tcPr>
          <w:p>
            <w:r>
              <w:rPr>
                <w:b w:val="false"/>
                <w:bCs w:val="false"/>
              </w:rPr>
              <w:t xml:space="preserve">Pathway</w:t>
            </w:r>
          </w:p>
        </w:tc>
        <w:tc>
          <w:tcPr>
            <w:tcW w:type="dxa" w:w="6800"/>
          </w:tcPr>
          <w:p>
            <w:r>
              <w:rPr>
                <w:b w:val="false"/>
                <w:bCs w:val="false"/>
              </w:rPr>
              <w:t xml:space="preserve">id, kegg_id (e.g. hsa04930), name</w:t>
            </w:r>
          </w:p>
        </w:tc>
      </w:tr>
    </w:tbl>
    <w:p>
      <w:pPr>
        <w:spacing w:after="150"/>
      </w:pPr>
    </w:p>
    <w:p>
      <w:pPr>
        <w:pStyle w:val="ListParagraph"/>
        <w:numPr>
          <w:ilvl w:val="0"/>
          <w:numId w:val="1"/>
        </w:numPr>
        <w:spacing w:after="120"/>
      </w:pPr>
      <w:r>
        <w:t xml:space="preserve">Disease —[ASSOCIATED_WITH {score}]→ Gene</w:t>
      </w:r>
    </w:p>
    <w:p>
      <w:pPr>
        <w:pStyle w:val="ListParagraph"/>
        <w:numPr>
          <w:ilvl w:val="0"/>
          <w:numId w:val="1"/>
        </w:numPr>
        <w:spacing w:after="120"/>
      </w:pPr>
      <w:r>
        <w:t xml:space="preserve">Gene —[PARTICIPATES_IN]→ Pathway</w:t>
      </w:r>
    </w:p>
    <w:p>
      <w:pPr>
        <w:pStyle w:val="ListParagraph"/>
        <w:numPr>
          <w:ilvl w:val="0"/>
          <w:numId w:val="1"/>
        </w:numPr>
        <w:spacing w:after="120"/>
      </w:pPr>
      <w:r>
        <w:t xml:space="preserve">Gene —[EXPRESSED_IN {log2FC, direction, p_value}]→ Disease  (new: captures the GEO-derived expression-change relationship, modeled after GUS/RAD's expression-record pattern)</w:t>
      </w:r>
    </w:p>
    <w:p>
      <w:pPr>
        <w:pStyle w:val="Heading2"/>
        <w:spacing w:before="200"/>
      </w:pPr>
      <w:r>
        <w:t xml:space="preserve">3.3 Gene Expression Data (GEO)</w:t>
      </w:r>
    </w:p>
    <w:p>
      <w:pPr>
        <w:spacing w:after="150"/>
      </w:pPr>
      <w:r>
        <w:t xml:space="preserve">For each disease, one public GEO differential expression dataset is used to determine which associated genes are dysregulated, and in which direction, relative to healthy controls: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00"/>
        <w:gridCol w:w="2900"/>
      </w:tblGrid>
      <w:tr>
        <w:tc>
          <w:tcPr>
            <w:tcW w:type="dxa" w:w="1800"/>
            <w:shd w:fill="E8EAF6" w:val="clear"/>
          </w:tcPr>
          <w:p>
            <w:r>
              <w:rPr>
                <w:b/>
                <w:bCs/>
              </w:rPr>
              <w:t xml:space="preserve">Disease</w:t>
            </w:r>
          </w:p>
        </w:tc>
        <w:tc>
          <w:tcPr>
            <w:tcW w:type="dxa" w:w="1800"/>
            <w:shd w:fill="E8EAF6" w:val="clear"/>
          </w:tcPr>
          <w:p>
            <w:r>
              <w:rPr>
                <w:b/>
                <w:bCs/>
              </w:rPr>
              <w:t xml:space="preserve">GEO Accession</w:t>
            </w:r>
          </w:p>
        </w:tc>
        <w:tc>
          <w:tcPr>
            <w:tcW w:type="dxa" w:w="2500"/>
            <w:shd w:fill="E8EAF6" w:val="clear"/>
          </w:tcPr>
          <w:p>
            <w:r>
              <w:rPr>
                <w:b/>
                <w:bCs/>
              </w:rPr>
              <w:t xml:space="preserve">Tissue</w:t>
            </w:r>
          </w:p>
        </w:tc>
        <w:tc>
          <w:tcPr>
            <w:tcW w:type="dxa" w:w="2900"/>
            <w:shd w:fill="E8EAF6" w:val="clear"/>
          </w:tcPr>
          <w:p>
            <w:r>
              <w:rPr>
                <w:b/>
                <w:bCs/>
              </w:rPr>
              <w:t xml:space="preserve">Comparison</w:t>
            </w:r>
          </w:p>
        </w:tc>
      </w:tr>
      <w:tr>
        <w:tc>
          <w:tcPr>
            <w:tcW w:type="dxa" w:w="1800"/>
          </w:tcPr>
          <w:p>
            <w:r>
              <w:rPr>
                <w:b w:val="false"/>
                <w:bCs w:val="false"/>
              </w:rPr>
              <w:t xml:space="preserve">PCOS</w:t>
            </w:r>
          </w:p>
        </w:tc>
        <w:tc>
          <w:tcPr>
            <w:tcW w:type="dxa" w:w="1800"/>
          </w:tcPr>
          <w:p>
            <w:r>
              <w:rPr>
                <w:b w:val="false"/>
                <w:bCs w:val="false"/>
              </w:rPr>
              <w:t xml:space="preserve">GSE34526</w:t>
            </w:r>
          </w:p>
        </w:tc>
        <w:tc>
          <w:tcPr>
            <w:tcW w:type="dxa" w:w="2500"/>
          </w:tcPr>
          <w:p>
            <w:r>
              <w:rPr>
                <w:b w:val="false"/>
                <w:bCs w:val="false"/>
              </w:rPr>
              <w:t xml:space="preserve">Ovarian granulosa cells</w:t>
            </w:r>
          </w:p>
        </w:tc>
        <w:tc>
          <w:tcPr>
            <w:tcW w:type="dxa" w:w="2900"/>
          </w:tcPr>
          <w:p>
            <w:r>
              <w:rPr>
                <w:b w:val="false"/>
                <w:bCs w:val="false"/>
              </w:rPr>
              <w:t xml:space="preserve">PCOS vs. normal (insulin-resistance focus)</w:t>
            </w:r>
          </w:p>
        </w:tc>
      </w:tr>
      <w:tr>
        <w:tc>
          <w:tcPr>
            <w:tcW w:type="dxa" w:w="1800"/>
          </w:tcPr>
          <w:p>
            <w:r>
              <w:rPr>
                <w:b w:val="false"/>
                <w:bCs w:val="false"/>
              </w:rPr>
              <w:t xml:space="preserve">T2D</w:t>
            </w:r>
          </w:p>
        </w:tc>
        <w:tc>
          <w:tcPr>
            <w:tcW w:type="dxa" w:w="1800"/>
          </w:tcPr>
          <w:p>
            <w:r>
              <w:rPr>
                <w:b w:val="false"/>
                <w:bCs w:val="false"/>
              </w:rPr>
              <w:t xml:space="preserve">GSE16415</w:t>
            </w:r>
          </w:p>
        </w:tc>
        <w:tc>
          <w:tcPr>
            <w:tcW w:type="dxa" w:w="2500"/>
          </w:tcPr>
          <w:p>
            <w:r>
              <w:rPr>
                <w:b w:val="false"/>
                <w:bCs w:val="false"/>
              </w:rPr>
              <w:t xml:space="preserve">Visceral adipose tissue</w:t>
            </w:r>
          </w:p>
        </w:tc>
        <w:tc>
          <w:tcPr>
            <w:tcW w:type="dxa" w:w="2900"/>
          </w:tcPr>
          <w:p>
            <w:r>
              <w:rPr>
                <w:b w:val="false"/>
                <w:bCs w:val="false"/>
              </w:rPr>
              <w:t xml:space="preserve">T2D vs. glucose-tolerant controls</w:t>
            </w:r>
          </w:p>
        </w:tc>
      </w:tr>
      <w:tr>
        <w:tc>
          <w:tcPr>
            <w:tcW w:type="dxa" w:w="1800"/>
          </w:tcPr>
          <w:p>
            <w:r>
              <w:rPr>
                <w:b w:val="false"/>
                <w:bCs w:val="false"/>
              </w:rPr>
              <w:t xml:space="preserve">NAFLD</w:t>
            </w:r>
          </w:p>
        </w:tc>
        <w:tc>
          <w:tcPr>
            <w:tcW w:type="dxa" w:w="1800"/>
          </w:tcPr>
          <w:p>
            <w:r>
              <w:rPr>
                <w:b w:val="false"/>
                <w:bCs w:val="false"/>
              </w:rPr>
              <w:t xml:space="preserve">GSE48452</w:t>
            </w:r>
          </w:p>
        </w:tc>
        <w:tc>
          <w:tcPr>
            <w:tcW w:type="dxa" w:w="2500"/>
          </w:tcPr>
          <w:p>
            <w:r>
              <w:rPr>
                <w:b w:val="false"/>
                <w:bCs w:val="false"/>
              </w:rPr>
              <w:t xml:space="preserve">Liver biopsy</w:t>
            </w:r>
          </w:p>
        </w:tc>
        <w:tc>
          <w:tcPr>
            <w:tcW w:type="dxa" w:w="2900"/>
          </w:tcPr>
          <w:p>
            <w:r>
              <w:rPr>
                <w:b w:val="false"/>
                <w:bCs w:val="false"/>
              </w:rPr>
              <w:t xml:space="preserve">Healthy / obese / steatosis / NASH</w:t>
            </w:r>
          </w:p>
        </w:tc>
      </w:tr>
      <w:tr>
        <w:tc>
          <w:tcPr>
            <w:tcW w:type="dxa" w:w="1800"/>
          </w:tcPr>
          <w:p>
            <w:r>
              <w:rPr>
                <w:b w:val="false"/>
                <w:bCs w:val="false"/>
              </w:rPr>
              <w:t xml:space="preserve">Obesity</w:t>
            </w:r>
          </w:p>
        </w:tc>
        <w:tc>
          <w:tcPr>
            <w:tcW w:type="dxa" w:w="1800"/>
          </w:tcPr>
          <w:p>
            <w:r>
              <w:rPr>
                <w:b w:val="false"/>
                <w:bCs w:val="false"/>
              </w:rPr>
              <w:t xml:space="preserve">GSE55200</w:t>
            </w:r>
          </w:p>
        </w:tc>
        <w:tc>
          <w:tcPr>
            <w:tcW w:type="dxa" w:w="2500"/>
          </w:tcPr>
          <w:p>
            <w:r>
              <w:rPr>
                <w:b w:val="false"/>
                <w:bCs w:val="false"/>
              </w:rPr>
              <w:t xml:space="preserve">Subcutaneous adipose tissue</w:t>
            </w:r>
          </w:p>
        </w:tc>
        <w:tc>
          <w:tcPr>
            <w:tcW w:type="dxa" w:w="2900"/>
          </w:tcPr>
          <w:p>
            <w:r>
              <w:rPr>
                <w:b w:val="false"/>
                <w:bCs w:val="false"/>
              </w:rPr>
              <w:t xml:space="preserve">Lean healthy vs. metabolically healthy/unhealthy obese</w:t>
            </w:r>
          </w:p>
        </w:tc>
      </w:tr>
    </w:tbl>
    <w:p>
      <w:pPr>
        <w:spacing w:after="200"/>
      </w:pPr>
      <w:r>
        <w:t xml:space="preserve">Each gene–disease pair from Open Targets is cross-checked against its corresponding GEO dataset; if the gene is a significant DEG (differentially expressed gene) in that study, its log2 fold-change, direction, and p-value populate the EXPRESSED_IN relationship.</w:t>
      </w:r>
    </w:p>
    <w:p>
      <w:pPr>
        <w:pStyle w:val="Heading2"/>
      </w:pPr>
      <w:r>
        <w:t xml:space="preserve">3.4 Overlap Graph Construction &amp; Hub Metric</w:t>
      </w:r>
    </w:p>
    <w:p>
      <w:pPr>
        <w:spacing w:after="150"/>
      </w:pPr>
      <w:r>
        <w:t xml:space="preserve">A shared-gene/pathway overlap graph is constructed across the four diseases, where nodes represent genes or pathways and edges represent shared involvement across two or more conditions. This leverages prior experience with graph-based algorithms (from the GossipMesh project) to efficiently model and query cross-disease relationships.</w:t>
      </w:r>
    </w:p>
    <w:p>
      <w:pPr>
        <w:spacing w:after="200"/>
      </w:pPr>
      <w:r>
        <w:t xml:space="preserve">Hub genes/pathways are defined by degree centrality: a gene or pathway is a “hub” if it is connected to two or more of the four diseases. A hub is further classed as expression-consistent if it also shows the same direction of dysregulation (both up- or both down-regulated) across those diseases in the GEO data — a stronger, more biologically-grounded comorbidity signal than co-association alone.</w:t>
      </w:r>
    </w:p>
    <w:p>
      <w:pPr>
        <w:pStyle w:val="Heading2"/>
      </w:pPr>
      <w:r>
        <w:t xml:space="preserve">3.5 Validation</w:t>
      </w:r>
    </w:p>
    <w:p>
      <w:pPr>
        <w:spacing w:after="200"/>
      </w:pPr>
      <w:r>
        <w:t xml:space="preserve">Output hub genes are cross-checked against genes already documented in the literature as shared PCOS–T2D insulin-resistance drivers (e.g. INSR, IRS1, IGF1). Recovering these genes as hubs, and confirming consistent dysregulation direction in the corresponding GEO datasets, confirms the pipeline is behaving correctly before drawing further conclusions from the graph.</w:t>
      </w:r>
    </w:p>
    <w:p>
      <w:pPr>
        <w:pStyle w:val="Heading2"/>
      </w:pPr>
      <w:r>
        <w:t xml:space="preserve">3.6 Analysis &amp; Output</w:t>
      </w:r>
    </w:p>
    <w:p>
      <w:pPr>
        <w:spacing w:after="200"/>
      </w:pPr>
      <w:r>
        <w:t xml:space="preserve">The resulting graph is analyzed to identify hub genes/pathways — particularly expression-consistent hubs — that are shared across multiple diseases in the cluster, which are strong candidates for explaining why these conditions frequently co-occur (comorbidity) in patients. The deliverable is a queryable Neo4j knowledge base, with example Cypher queries surfacing cross-disease gene, pathway, and expression overlaps to support downstream bio-reasoning tasks.</w:t>
      </w:r>
    </w:p>
    <w:p>
      <w:pPr>
        <w:pStyle w:val="Heading1"/>
        <w:spacing w:before="200"/>
      </w:pPr>
      <w:r>
        <w:t xml:space="preserve">4. Novelty</w:t>
      </w:r>
    </w:p>
    <w:p>
      <w:pPr>
        <w:spacing w:after="150"/>
      </w:pPr>
      <w:r>
        <w:t xml:space="preserve">Most existing KEGG-based analyses study a single disease's pathways in isolation. This project's novelty lies in the cross-disease integration layer: rather than treating PCOS, T2D, NAFLD, and obesity as separate problems, it explicitly models the overlapping gene/pathway structure that connects them as a comorbidity cluster.</w:t>
      </w:r>
    </w:p>
    <w:p>
      <w:pPr>
        <w:spacing w:after="150"/>
      </w:pPr>
      <w:r>
        <w:t xml:space="preserve">A second layer of novelty comes from grounding that overlap in real gene expression data (GEO) rather than static associations alone, using a schema design informed by the GUS/RAD model for representing expression studies — so a “shared gene” claim is backed by evidence that it moves the same direction across diseases, not just that it appears in both disease-gene lists.</w:t>
      </w:r>
    </w:p>
    <w:p>
      <w:r>
        <w:t xml:space="preserve">This is more bio-reasoning-heavy and less purely infrastructural than a single-disease pipeline — the core contribution is the integration and graph-overlap methodology itself, applying graph-algorithm techniques to a biological comorbidity problem in a way that surfaces shared mechanistic drivers across conditions that are typically studied independently.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2026-09-30T10:16:29.839Z</dcterms:created>
  <dcterms:modified xsi:type="dcterms:W3CDTF">2026-09-30T10:16:29.845Z</dcterms:modified>
</cp:coreProperties>
</file>

<file path=docProps/custom.xml><?xml version="1.0" encoding="utf-8"?>
<Properties xmlns="http://schemas.openxmlformats.org/officeDocument/2006/custom-properties" xmlns:vt="http://schemas.openxmlformats.org/officeDocument/2006/docPropsVTypes"/>
</file>