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hipaa-compliance-us"/>
    <w:p>
      <w:pPr>
        <w:pStyle w:val="Heading1"/>
      </w:pPr>
      <w:r>
        <w:t xml:space="preserve">HIPAA Compliance (US)</w:t>
      </w:r>
    </w:p>
    <w:p>
      <w:pPr>
        <w:pStyle w:val="FirstParagraph"/>
      </w:pPr>
      <w:r>
        <w:rPr>
          <w:b/>
          <w:bCs/>
        </w:rPr>
        <w:t xml:space="preserve">Covered Entity vs Business Associate:</w:t>
      </w:r>
      <w:r>
        <w:t xml:space="preserve"> </w:t>
      </w:r>
      <w:r>
        <w:t xml:space="preserve">Under HIPAA, health care providers (hospitals, doctors) and health plans are “covered entities.” A vendor processing protected health information (PHI) for them is a</w:t>
      </w:r>
      <w:r>
        <w:t xml:space="preserve"> </w:t>
      </w:r>
      <w:r>
        <w:rPr>
          <w:i/>
          <w:iCs/>
        </w:rPr>
        <w:t xml:space="preserve">Business Associate (BA)</w:t>
      </w:r>
      <w:hyperlink r:id="rId21">
        <w:r>
          <w:rPr>
            <w:rStyle w:val="Hyperlink"/>
          </w:rPr>
          <w:t xml:space="preserve">[1]</w:t>
        </w:r>
      </w:hyperlink>
      <w:r>
        <w:t xml:space="preserve">. In our case, Turkish clinics treating US patients are effectively covered entities, and our platform processing those patients’ PHI is a BA</w:t>
      </w:r>
      <w:hyperlink r:id="rId21">
        <w:r>
          <w:rPr>
            <w:rStyle w:val="Hyperlink"/>
          </w:rPr>
          <w:t xml:space="preserve">[1]</w:t>
        </w:r>
      </w:hyperlink>
      <w:r>
        <w:t xml:space="preserve">. Thus</w:t>
      </w:r>
      <w:r>
        <w:t xml:space="preserve"> </w:t>
      </w:r>
      <w:r>
        <w:rPr>
          <w:b/>
          <w:bCs/>
        </w:rPr>
        <w:t xml:space="preserve">if</w:t>
      </w:r>
      <w:r>
        <w:t xml:space="preserve"> </w:t>
      </w:r>
      <w:r>
        <w:t xml:space="preserve">we handle PHI of US residents, HIPAA applies. We would sign Business Associate Agreements (BAAs) with each clinic and require our infrastructure vendors (Supabase, Vercel, email service, etc.) to sign BAAs. If</w:t>
      </w:r>
      <w:r>
        <w:t xml:space="preserve"> </w:t>
      </w:r>
      <w:r>
        <w:rPr>
          <w:b/>
          <w:bCs/>
        </w:rPr>
        <w:t xml:space="preserve">only EU/UK patients</w:t>
      </w:r>
      <w:r>
        <w:t xml:space="preserve"> </w:t>
      </w:r>
      <w:r>
        <w:t xml:space="preserve">use the platform, HIPAA does</w:t>
      </w:r>
      <w:r>
        <w:t xml:space="preserve"> </w:t>
      </w:r>
      <w:r>
        <w:rPr>
          <w:i/>
          <w:iCs/>
        </w:rPr>
        <w:t xml:space="preserve">not</w:t>
      </w:r>
      <w:r>
        <w:t xml:space="preserve"> </w:t>
      </w:r>
      <w:r>
        <w:t xml:space="preserve">legally apply (HIPAA is US-specific)</w:t>
      </w:r>
      <w:hyperlink r:id="rId21">
        <w:r>
          <w:rPr>
            <w:rStyle w:val="Hyperlink"/>
          </w:rPr>
          <w:t xml:space="preserve">[1]</w:t>
        </w:r>
      </w:hyperlink>
      <w:r>
        <w:t xml:space="preserve">, although following its controls is still good practice. We should assume a HIPAA audit could happen if we ever serve any US patient.</w:t>
      </w:r>
    </w:p>
    <w:p>
      <w:pPr>
        <w:pStyle w:val="BodyText"/>
      </w:pPr>
      <w:r>
        <w:rPr>
          <w:b/>
          <w:bCs/>
        </w:rPr>
        <w:t xml:space="preserve">HIPAA Security Rule – Safeguards:</w:t>
      </w:r>
      <w:r>
        <w:t xml:space="preserve"> </w:t>
      </w:r>
      <w:r>
        <w:t xml:space="preserve">HIPAA mandates documented</w:t>
      </w:r>
      <w:r>
        <w:t xml:space="preserve"> </w:t>
      </w:r>
      <w:r>
        <w:rPr>
          <w:b/>
          <w:bCs/>
        </w:rPr>
        <w:t xml:space="preserve">Administrative</w:t>
      </w:r>
      <w:r>
        <w:t xml:space="preserve">,</w:t>
      </w:r>
      <w:r>
        <w:t xml:space="preserve"> </w:t>
      </w:r>
      <w:r>
        <w:rPr>
          <w:b/>
          <w:bCs/>
        </w:rPr>
        <w:t xml:space="preserve">Physical</w:t>
      </w:r>
      <w:r>
        <w:t xml:space="preserve">, and</w:t>
      </w:r>
      <w:r>
        <w:t xml:space="preserve"> </w:t>
      </w:r>
      <w:r>
        <w:rPr>
          <w:b/>
          <w:bCs/>
        </w:rPr>
        <w:t xml:space="preserve">Technical</w:t>
      </w:r>
      <w:r>
        <w:t xml:space="preserve"> </w:t>
      </w:r>
      <w:r>
        <w:t xml:space="preserve">safeguards (45 CFR §164.308-.310). For a SaaS platform, this typically means:</w:t>
      </w:r>
    </w:p>
    <w:p>
      <w:pPr>
        <w:numPr>
          <w:ilvl w:val="0"/>
          <w:numId w:val="1001"/>
        </w:numPr>
      </w:pPr>
      <w:r>
        <w:rPr>
          <w:b/>
          <w:bCs/>
        </w:rPr>
        <w:t xml:space="preserve">Administrative:</w:t>
      </w:r>
      <w:r>
        <w:t xml:space="preserve"> </w:t>
      </w:r>
      <w:r>
        <w:t xml:space="preserve">Perform a formal Risk Analysis and Risk Management process (164.308(a)(1))</w:t>
      </w:r>
      <w:hyperlink r:id="rId22">
        <w:r>
          <w:rPr>
            <w:rStyle w:val="Hyperlink"/>
          </w:rPr>
          <w:t xml:space="preserve">[2]</w:t>
        </w:r>
      </w:hyperlink>
      <w:r>
        <w:t xml:space="preserve">. Assign a security officer. Train all staff on security awareness. Enforce least-privilege policies (e.g. unique IDs, role-based access). Maintain an incident response plan and a contingency plan (backups, disaster recovery)</w:t>
      </w:r>
      <w:hyperlink r:id="rId22">
        <w:r>
          <w:rPr>
            <w:rStyle w:val="Hyperlink"/>
          </w:rPr>
          <w:t xml:space="preserve">[2]</w:t>
        </w:r>
      </w:hyperlink>
      <w:r>
        <w:t xml:space="preserve">. Document workforce security policies (background checks, termination procedures). Maintain BAAs with subcontractors.</w:t>
      </w:r>
    </w:p>
    <w:p>
      <w:pPr>
        <w:numPr>
          <w:ilvl w:val="0"/>
          <w:numId w:val="1001"/>
        </w:numPr>
      </w:pPr>
      <w:r>
        <w:rPr>
          <w:b/>
          <w:bCs/>
        </w:rPr>
        <w:t xml:space="preserve">Physical:</w:t>
      </w:r>
      <w:r>
        <w:t xml:space="preserve"> </w:t>
      </w:r>
      <w:r>
        <w:t xml:space="preserve">While we use cloud services, we must ensure data centers have physical security (access controls, surveillance) and that workstations/devices are secured (screen locks, encryptions, asset inventory)</w:t>
      </w:r>
      <w:hyperlink r:id="rId22">
        <w:r>
          <w:rPr>
            <w:rStyle w:val="Hyperlink"/>
          </w:rPr>
          <w:t xml:space="preserve">[2]</w:t>
        </w:r>
      </w:hyperlink>
      <w:r>
        <w:t xml:space="preserve">. For example, require locking screens and encrypted disks on any admin laptops, and proper disposal of media (HIPAA §164.310).</w:t>
      </w:r>
    </w:p>
    <w:p>
      <w:pPr>
        <w:numPr>
          <w:ilvl w:val="0"/>
          <w:numId w:val="1001"/>
        </w:numPr>
      </w:pPr>
      <w:r>
        <w:rPr>
          <w:b/>
          <w:bCs/>
        </w:rPr>
        <w:t xml:space="preserve">Technical:</w:t>
      </w:r>
      <w:r>
        <w:t xml:space="preserve"> </w:t>
      </w:r>
      <w:r>
        <w:t xml:space="preserve">Implement strong access controls: unique user IDs, secure passwords (bcrypt hashes, 12+ chars), enforce automatic logoff/timeout, and multi-factor authentication for all privileged accounts (MFA is</w:t>
      </w:r>
      <w:r>
        <w:t xml:space="preserve"> </w:t>
      </w:r>
      <w:r>
        <w:rPr>
          <w:i/>
          <w:iCs/>
        </w:rPr>
        <w:t xml:space="preserve">required</w:t>
      </w:r>
      <w:r>
        <w:t xml:space="preserve"> </w:t>
      </w:r>
      <w:r>
        <w:t xml:space="preserve">by HIPAA for remote access)</w:t>
      </w:r>
      <w:hyperlink r:id="rId23">
        <w:r>
          <w:rPr>
            <w:rStyle w:val="Hyperlink"/>
          </w:rPr>
          <w:t xml:space="preserve">[3]</w:t>
        </w:r>
      </w:hyperlink>
      <w:r>
        <w:t xml:space="preserve">. Use encryption-in-transit (TLS 1.2/1.3) on</w:t>
      </w:r>
      <w:r>
        <w:t xml:space="preserve"> </w:t>
      </w:r>
      <w:r>
        <w:rPr>
          <w:i/>
          <w:iCs/>
        </w:rPr>
        <w:t xml:space="preserve">all</w:t>
      </w:r>
      <w:r>
        <w:t xml:space="preserve"> </w:t>
      </w:r>
      <w:r>
        <w:t xml:space="preserve">channels and strong ciphers. Ensure encryption-at-rest: e.g., AWS RDS volumes (Supabase) with AES-256, or PostgreSQL TDE/column encryption for extra PHI. Log and audit</w:t>
      </w:r>
      <w:r>
        <w:t xml:space="preserve"> </w:t>
      </w:r>
      <w:r>
        <w:rPr>
          <w:i/>
          <w:iCs/>
        </w:rPr>
        <w:t xml:space="preserve">all</w:t>
      </w:r>
      <w:r>
        <w:t xml:space="preserve"> </w:t>
      </w:r>
      <w:r>
        <w:t xml:space="preserve">access to ePHI (HIPAA requires audit controls)</w:t>
      </w:r>
      <w:hyperlink r:id="rId24">
        <w:r>
          <w:rPr>
            <w:rStyle w:val="Hyperlink"/>
          </w:rPr>
          <w:t xml:space="preserve">[4]</w:t>
        </w:r>
      </w:hyperlink>
      <w:r>
        <w:t xml:space="preserve">. Implement integrity controls (checksums, signatures) and authenticated access (e.g. 2FA, IP restrictions). We should document all these controls.</w:t>
      </w:r>
    </w:p>
    <w:p>
      <w:pPr>
        <w:pStyle w:val="FirstParagraph"/>
      </w:pPr>
      <w:r>
        <w:t xml:space="preserve">We must document compliance by writing policies and procedures covering each safeguard area, and evidence (logs, audit trails, risk reports) to satisfy auditors. For example, Supabase’s HIPAA add-on enables point-in-time recovery and encryption</w:t>
      </w:r>
      <w:hyperlink r:id="rId25">
        <w:r>
          <w:rPr>
            <w:rStyle w:val="Hyperlink"/>
          </w:rPr>
          <w:t xml:space="preserve">[5]</w:t>
        </w:r>
      </w:hyperlink>
      <w:r>
        <w:t xml:space="preserve">, which meets some technical controls.</w:t>
      </w:r>
    </w:p>
    <w:p>
      <w:pPr>
        <w:pStyle w:val="BodyText"/>
      </w:pPr>
      <w:r>
        <w:rPr>
          <w:b/>
          <w:bCs/>
        </w:rPr>
        <w:t xml:space="preserve">Audit Logs Retention:</w:t>
      </w:r>
      <w:r>
        <w:t xml:space="preserve"> </w:t>
      </w:r>
      <w:r>
        <w:t xml:space="preserve">HIPAA requires retaining documentation (policies, risk assessments, audit logs of PHI access, etc.) for</w:t>
      </w:r>
      <w:r>
        <w:t xml:space="preserve"> </w:t>
      </w:r>
      <w:r>
        <w:rPr>
          <w:b/>
          <w:bCs/>
        </w:rPr>
        <w:t xml:space="preserve">6 years</w:t>
      </w:r>
      <w:hyperlink r:id="rId26">
        <w:r>
          <w:rPr>
            <w:rStyle w:val="Hyperlink"/>
          </w:rPr>
          <w:t xml:space="preserve">[6]</w:t>
        </w:r>
      </w:hyperlink>
      <w:r>
        <w:t xml:space="preserve">. In practice, we must keep system logs (who accessed which patient, when, from where) for six years. Implement an immutable, append-only audit log (e.g. separate logging database or SIEM) and back it up.</w:t>
      </w:r>
    </w:p>
    <w:p>
      <w:pPr>
        <w:pStyle w:val="BodyText"/>
      </w:pPr>
      <w:r>
        <w:rPr>
          <w:b/>
          <w:bCs/>
        </w:rPr>
        <w:t xml:space="preserve">Minimum Necessary:</w:t>
      </w:r>
      <w:r>
        <w:t xml:space="preserve"> </w:t>
      </w:r>
      <w:r>
        <w:t xml:space="preserve">HIPAA’s Privacy Rule requires only the “minimum necessary” PHI be used/disclosed</w:t>
      </w:r>
      <w:hyperlink r:id="rId27">
        <w:r>
          <w:rPr>
            <w:rStyle w:val="Hyperlink"/>
          </w:rPr>
          <w:t xml:space="preserve">[7]</w:t>
        </w:r>
      </w:hyperlink>
      <w:r>
        <w:t xml:space="preserve">. In a multi-tenant SaaS, this means strict</w:t>
      </w:r>
      <w:r>
        <w:t xml:space="preserve"> </w:t>
      </w:r>
      <w:r>
        <w:rPr>
          <w:b/>
          <w:bCs/>
        </w:rPr>
        <w:t xml:space="preserve">Role-Based Access Control (RBAC)</w:t>
      </w:r>
      <w:r>
        <w:t xml:space="preserve">: e.g. a clinic’s staff can see only</w:t>
      </w:r>
      <w:r>
        <w:t xml:space="preserve"> </w:t>
      </w:r>
      <w:r>
        <w:rPr>
          <w:i/>
          <w:iCs/>
        </w:rPr>
        <w:t xml:space="preserve">their</w:t>
      </w:r>
      <w:r>
        <w:t xml:space="preserve"> </w:t>
      </w:r>
      <w:r>
        <w:t xml:space="preserve">patients; a doctor can see only assigned cases; patients see only their own data. Using row-level policies in Supabase (e.g.</w:t>
      </w:r>
      <w:r>
        <w:t xml:space="preserve"> </w:t>
      </w:r>
      <w:r>
        <w:rPr>
          <w:rStyle w:val="VerbatimChar"/>
        </w:rPr>
        <w:t xml:space="preserve">WHERE clinic_id = auth.claims-&gt;&gt;'clinic_id'</w:t>
      </w:r>
      <w:r>
        <w:t xml:space="preserve">) enforces minimum necessary. We should log any access and periodically review roles.</w:t>
      </w:r>
    </w:p>
    <w:p>
      <w:pPr>
        <w:pStyle w:val="BodyText"/>
      </w:pPr>
      <w:r>
        <w:rPr>
          <w:b/>
          <w:bCs/>
        </w:rPr>
        <w:t xml:space="preserve">Emergency Access Procedure:</w:t>
      </w:r>
      <w:r>
        <w:t xml:space="preserve"> </w:t>
      </w:r>
      <w:r>
        <w:t xml:space="preserve">HIPAA explicitly requires a “</w:t>
      </w:r>
      <w:r>
        <w:rPr>
          <w:b/>
          <w:bCs/>
        </w:rPr>
        <w:t xml:space="preserve">break-the-glass</w:t>
      </w:r>
      <w:r>
        <w:t xml:space="preserve">” emergency access mechanism</w:t>
      </w:r>
      <w:hyperlink r:id="rId23">
        <w:r>
          <w:rPr>
            <w:rStyle w:val="Hyperlink"/>
          </w:rPr>
          <w:t xml:space="preserve">[3]</w:t>
        </w:r>
      </w:hyperlink>
      <w:r>
        <w:t xml:space="preserve">. For example, enable a way for an authorized provider to override normal RLS restrictions during a medical emergency (with strong audit controls so these events are logged and reviewed).</w:t>
      </w:r>
    </w:p>
    <w:p>
      <w:pPr>
        <w:pStyle w:val="BodyText"/>
      </w:pPr>
      <w:r>
        <w:rPr>
          <w:b/>
          <w:bCs/>
        </w:rPr>
        <w:t xml:space="preserve">HIPAA Privacy Rule – Notices and Rights:</w:t>
      </w:r>
      <w:r>
        <w:t xml:space="preserve"> </w:t>
      </w:r>
      <w:r>
        <w:t xml:space="preserve">As a BA, we do</w:t>
      </w:r>
      <w:r>
        <w:t xml:space="preserve"> </w:t>
      </w:r>
      <w:r>
        <w:rPr>
          <w:b/>
          <w:bCs/>
        </w:rPr>
        <w:t xml:space="preserve">not</w:t>
      </w:r>
      <w:r>
        <w:t xml:space="preserve"> </w:t>
      </w:r>
      <w:r>
        <w:t xml:space="preserve">issue the Notice of Privacy Practices (NPP) – that is the covered entity’s duty. However, our patient portal should link to a Privacy Policy explaining how we use PHI, consistent with the clinic’s NPP</w:t>
      </w:r>
      <w:hyperlink r:id="rId28">
        <w:r>
          <w:rPr>
            <w:rStyle w:val="Hyperlink"/>
          </w:rPr>
          <w:t xml:space="preserve">[8]</w:t>
        </w:r>
      </w:hyperlink>
      <w:r>
        <w:t xml:space="preserve">. We must abide by</w:t>
      </w:r>
      <w:r>
        <w:t xml:space="preserve"> </w:t>
      </w:r>
      <w:r>
        <w:rPr>
          <w:b/>
          <w:bCs/>
        </w:rPr>
        <w:t xml:space="preserve">all patient rights under HIPAA</w:t>
      </w:r>
      <w:r>
        <w:t xml:space="preserve">:</w:t>
      </w:r>
    </w:p>
    <w:p>
      <w:pPr>
        <w:pStyle w:val="Compact"/>
        <w:numPr>
          <w:ilvl w:val="0"/>
          <w:numId w:val="1002"/>
        </w:numPr>
      </w:pPr>
      <w:r>
        <w:rPr>
          <w:b/>
          <w:bCs/>
        </w:rPr>
        <w:t xml:space="preserve">Right of Access (45 CFR 164.524):</w:t>
      </w:r>
      <w:r>
        <w:t xml:space="preserve"> </w:t>
      </w:r>
      <w:r>
        <w:t xml:space="preserve">Patients can request their PHI. We must provide copies (potentially in JSON/PDF) within 30 days (with one allowed 30-day extension)</w:t>
      </w:r>
      <w:hyperlink r:id="rId29">
        <w:r>
          <w:rPr>
            <w:rStyle w:val="Hyperlink"/>
          </w:rPr>
          <w:t xml:space="preserve">[9]</w:t>
        </w:r>
      </w:hyperlink>
      <w:r>
        <w:t xml:space="preserve">. For example, a “Download My Data” button should compile and deliver all records promptly.</w:t>
      </w:r>
    </w:p>
    <w:p>
      <w:pPr>
        <w:pStyle w:val="Compact"/>
        <w:numPr>
          <w:ilvl w:val="0"/>
          <w:numId w:val="1002"/>
        </w:numPr>
      </w:pPr>
      <w:r>
        <w:rPr>
          <w:b/>
          <w:bCs/>
        </w:rPr>
        <w:t xml:space="preserve">Right to Amendment (164.526):</w:t>
      </w:r>
      <w:r>
        <w:t xml:space="preserve"> </w:t>
      </w:r>
      <w:r>
        <w:t xml:space="preserve">If a patient disputes accuracy (e.g. incorrect DOB), we must correct the record. We should have a workflow for clinics to amend records and log those changes.</w:t>
      </w:r>
    </w:p>
    <w:p>
      <w:pPr>
        <w:pStyle w:val="Compact"/>
        <w:numPr>
          <w:ilvl w:val="0"/>
          <w:numId w:val="1002"/>
        </w:numPr>
      </w:pPr>
      <w:r>
        <w:rPr>
          <w:b/>
          <w:bCs/>
        </w:rPr>
        <w:t xml:space="preserve">Accounting of Disclosures (164.528):</w:t>
      </w:r>
      <w:r>
        <w:t xml:space="preserve"> </w:t>
      </w:r>
      <w:r>
        <w:t xml:space="preserve">We need to log any disclosures of PHI outside of treatment (e.g. if we send X-rays to an overseas lab or share data with third-party AI). Note,</w:t>
      </w:r>
      <w:r>
        <w:t xml:space="preserve"> </w:t>
      </w:r>
      <w:r>
        <w:rPr>
          <w:b/>
          <w:bCs/>
        </w:rPr>
        <w:t xml:space="preserve">treatment disclosures (doctor↔patient)</w:t>
      </w:r>
      <w:r>
        <w:t xml:space="preserve"> </w:t>
      </w:r>
      <w:r>
        <w:t xml:space="preserve">do</w:t>
      </w:r>
      <w:r>
        <w:t xml:space="preserve"> </w:t>
      </w:r>
      <w:r>
        <w:rPr>
          <w:i/>
          <w:iCs/>
        </w:rPr>
        <w:t xml:space="preserve">not</w:t>
      </w:r>
      <w:r>
        <w:t xml:space="preserve"> </w:t>
      </w:r>
      <w:r>
        <w:t xml:space="preserve">count as reportable disclosures</w:t>
      </w:r>
      <w:hyperlink r:id="rId30">
        <w:r>
          <w:rPr>
            <w:rStyle w:val="Hyperlink"/>
          </w:rPr>
          <w:t xml:space="preserve">[10]</w:t>
        </w:r>
      </w:hyperlink>
      <w:r>
        <w:t xml:space="preserve">, so normal clinical access is exempt. Only external disclosures (to vendors, insurers, etc.) must be recorded.</w:t>
      </w:r>
    </w:p>
    <w:p>
      <w:pPr>
        <w:pStyle w:val="Compact"/>
        <w:numPr>
          <w:ilvl w:val="0"/>
          <w:numId w:val="1002"/>
        </w:numPr>
      </w:pPr>
      <w:r>
        <w:rPr>
          <w:b/>
          <w:bCs/>
        </w:rPr>
        <w:t xml:space="preserve">Request Restrictions:</w:t>
      </w:r>
      <w:r>
        <w:t xml:space="preserve"> </w:t>
      </w:r>
      <w:r>
        <w:t xml:space="preserve">Patients may request that we not share data (e.g. no marketing emails). We must honor any reasonable restriction on disclosures (per HIPAA 45 CFR 164.522).</w:t>
      </w:r>
    </w:p>
    <w:p>
      <w:pPr>
        <w:pStyle w:val="Compact"/>
        <w:numPr>
          <w:ilvl w:val="0"/>
          <w:numId w:val="1002"/>
        </w:numPr>
      </w:pPr>
      <w:r>
        <w:rPr>
          <w:b/>
          <w:bCs/>
        </w:rPr>
        <w:t xml:space="preserve">Consent, Authorization:</w:t>
      </w:r>
      <w:r>
        <w:t xml:space="preserve"> </w:t>
      </w:r>
      <w:r>
        <w:t xml:space="preserve">For uses beyond treatment/payment (e.g. marketing, research), we must obtain explicit consent, especially for psychotherapy notes or special categories.</w:t>
      </w:r>
    </w:p>
    <w:p>
      <w:pPr>
        <w:pStyle w:val="FirstParagraph"/>
      </w:pPr>
      <w:r>
        <w:t xml:space="preserve">We must build workflows: e.g. a Data Subject Request interface to search all data about a patient and generate a report within 30 days</w:t>
      </w:r>
      <w:hyperlink r:id="rId29">
        <w:r>
          <w:rPr>
            <w:rStyle w:val="Hyperlink"/>
          </w:rPr>
          <w:t xml:space="preserve">[9]</w:t>
        </w:r>
      </w:hyperlink>
      <w:r>
        <w:t xml:space="preserve">. All procedures (forms, authentication steps, deadlines) should be documented.</w:t>
      </w:r>
    </w:p>
    <w:p>
      <w:pPr>
        <w:pStyle w:val="BodyText"/>
      </w:pPr>
      <w:r>
        <w:rPr>
          <w:b/>
          <w:bCs/>
        </w:rPr>
        <w:t xml:space="preserve">Breach Notification:</w:t>
      </w:r>
      <w:r>
        <w:t xml:space="preserve"> </w:t>
      </w:r>
      <w:r>
        <w:t xml:space="preserve">We need a formal incident response plan. Under HIPAA’s Breach Notification Rule: any breach of unsecured PHI (unauthorized access) triggers notifications. For breaches affecting</w:t>
      </w:r>
      <w:r>
        <w:t xml:space="preserve"> </w:t>
      </w:r>
      <w:r>
        <w:rPr>
          <w:b/>
          <w:bCs/>
        </w:rPr>
        <w:t xml:space="preserve">&lt;500 individuals</w:t>
      </w:r>
      <w:r>
        <w:t xml:space="preserve">, we must notify each individual “without unreasonable delay” and report them to HHS annually</w:t>
      </w:r>
      <w:hyperlink r:id="rId31">
        <w:r>
          <w:rPr>
            <w:rStyle w:val="Hyperlink"/>
          </w:rPr>
          <w:t xml:space="preserve">[11]</w:t>
        </w:r>
      </w:hyperlink>
      <w:r>
        <w:t xml:space="preserve">. For</w:t>
      </w:r>
      <w:r>
        <w:t xml:space="preserve"> </w:t>
      </w:r>
      <w:r>
        <w:rPr>
          <w:b/>
          <w:bCs/>
        </w:rPr>
        <w:t xml:space="preserve">≥500 individuals</w:t>
      </w:r>
      <w:r>
        <w:t xml:space="preserve">, notify affected patients, the HHS Secretary, and local media</w:t>
      </w:r>
      <w:r>
        <w:t xml:space="preserve"> </w:t>
      </w:r>
      <w:r>
        <w:rPr>
          <w:i/>
          <w:iCs/>
        </w:rPr>
        <w:t xml:space="preserve">within 60 days</w:t>
      </w:r>
      <w:hyperlink r:id="rId32">
        <w:r>
          <w:rPr>
            <w:rStyle w:val="Hyperlink"/>
          </w:rPr>
          <w:t xml:space="preserve">[12]</w:t>
        </w:r>
      </w:hyperlink>
      <w:hyperlink r:id="rId31">
        <w:r>
          <w:rPr>
            <w:rStyle w:val="Hyperlink"/>
          </w:rPr>
          <w:t xml:space="preserve">[11]</w:t>
        </w:r>
      </w:hyperlink>
      <w:r>
        <w:t xml:space="preserve">. As a BA, we must also notify each covered entity we work for of any breach “without unreasonable delay” (generally within 60 days)</w:t>
      </w:r>
      <w:hyperlink r:id="rId33">
        <w:r>
          <w:rPr>
            <w:rStyle w:val="Hyperlink"/>
          </w:rPr>
          <w:t xml:space="preserve">[13]</w:t>
        </w:r>
      </w:hyperlink>
      <w:r>
        <w:t xml:space="preserve">. In practice, we should define clear steps: detect breach, contain (revoke credentials, patch), assess scope (count records), then classify as small/large and notify parties accordingly. We should have template notices and a clear division of responsibility (usually the clinic issues patient notices, but our legal team must coordinate). HIPAA breaches can be very costly: recent OCR fines include ~$182K (Cadia Healthcare)</w:t>
      </w:r>
      <w:hyperlink r:id="rId34">
        <w:r>
          <w:rPr>
            <w:rStyle w:val="Hyperlink"/>
          </w:rPr>
          <w:t xml:space="preserve">[14]</w:t>
        </w:r>
      </w:hyperlink>
      <w:hyperlink r:id="rId35">
        <w:r>
          <w:rPr>
            <w:rStyle w:val="Hyperlink"/>
          </w:rPr>
          <w:t xml:space="preserve">[15]</w:t>
        </w:r>
      </w:hyperlink>
      <w:r>
        <w:t xml:space="preserve">, $548K and $1.19M in other cases</w:t>
      </w:r>
      <w:hyperlink r:id="rId36">
        <w:r>
          <w:rPr>
            <w:rStyle w:val="Hyperlink"/>
          </w:rPr>
          <w:t xml:space="preserve">[16]</w:t>
        </w:r>
      </w:hyperlink>
      <w:r>
        <w:t xml:space="preserve">. It’s prudent to carry cyber liability insurance as well.</w:t>
      </w:r>
    </w:p>
    <w:bookmarkStart w:id="49" w:name="gdpr-euuk"/>
    <w:p>
      <w:pPr>
        <w:pStyle w:val="Heading2"/>
      </w:pPr>
      <w:r>
        <w:t xml:space="preserve">GDPR (EU/UK)</w:t>
      </w:r>
    </w:p>
    <w:p>
      <w:pPr>
        <w:pStyle w:val="FirstParagraph"/>
      </w:pPr>
      <w:r>
        <w:rPr>
          <w:b/>
          <w:bCs/>
        </w:rPr>
        <w:t xml:space="preserve">Applicability:</w:t>
      </w:r>
      <w:r>
        <w:t xml:space="preserve"> </w:t>
      </w:r>
      <w:r>
        <w:t xml:space="preserve">GDPR applies to</w:t>
      </w:r>
      <w:r>
        <w:t xml:space="preserve"> </w:t>
      </w:r>
      <w:r>
        <w:rPr>
          <w:b/>
          <w:bCs/>
        </w:rPr>
        <w:t xml:space="preserve">EU/UK residents’ data</w:t>
      </w:r>
      <w:r>
        <w:t xml:space="preserve"> </w:t>
      </w:r>
      <w:r>
        <w:t xml:space="preserve">regardless of where we are based. Since our target patients are in UK/EU,</w:t>
      </w:r>
      <w:r>
        <w:t xml:space="preserve"> </w:t>
      </w:r>
      <w:r>
        <w:rPr>
          <w:b/>
          <w:bCs/>
        </w:rPr>
        <w:t xml:space="preserve">GDPR definitely applies</w:t>
      </w:r>
      <w:r>
        <w:t xml:space="preserve"> </w:t>
      </w:r>
      <w:r>
        <w:t xml:space="preserve">(the UK has retained GDPR, see “UK GDPR”). For EU patients, the clinics (controllers) and we (for our own portal/marketing) are subject to EU GDPR. Post-Brexit UK is covered by a separate UK GDPR, but the UK has an adequacy decision (renewed Dec 2025</w:t>
      </w:r>
      <w:hyperlink r:id="rId37">
        <w:r>
          <w:rPr>
            <w:rStyle w:val="Hyperlink"/>
          </w:rPr>
          <w:t xml:space="preserve">[17]</w:t>
        </w:r>
      </w:hyperlink>
      <w:r>
        <w:t xml:space="preserve">), so data can flow freely between UK and EU. We are likely a</w:t>
      </w:r>
      <w:r>
        <w:t xml:space="preserve"> </w:t>
      </w:r>
      <w:r>
        <w:rPr>
          <w:b/>
          <w:bCs/>
        </w:rPr>
        <w:t xml:space="preserve">data controller</w:t>
      </w:r>
      <w:r>
        <w:t xml:space="preserve"> </w:t>
      </w:r>
      <w:r>
        <w:t xml:space="preserve">when we process patient leads (we decide how to use their contact/health data for onboarding, marketing) and a</w:t>
      </w:r>
      <w:r>
        <w:t xml:space="preserve"> </w:t>
      </w:r>
      <w:r>
        <w:rPr>
          <w:b/>
          <w:bCs/>
        </w:rPr>
        <w:t xml:space="preserve">processor</w:t>
      </w:r>
      <w:r>
        <w:t xml:space="preserve"> </w:t>
      </w:r>
      <w:r>
        <w:t xml:space="preserve">when clinics use our platform to store patient records (we store data on their behalf). We must have</w:t>
      </w:r>
      <w:r>
        <w:t xml:space="preserve"> </w:t>
      </w:r>
      <w:r>
        <w:rPr>
          <w:i/>
          <w:iCs/>
        </w:rPr>
        <w:t xml:space="preserve">Data Processing Agreements (DPAs)</w:t>
      </w:r>
      <w:r>
        <w:t xml:space="preserve"> </w:t>
      </w:r>
      <w:r>
        <w:t xml:space="preserve">with the clinics (controllers) describing our processing. EU GDPR (and UK GDPR) require us to have lawful bases for each processing activity (e.g. “contract performance” for patient records, “consent” for marketing emails, “legitimate interest” or consent for minimal contact).</w:t>
      </w:r>
    </w:p>
    <w:p>
      <w:pPr>
        <w:pStyle w:val="BodyText"/>
      </w:pPr>
      <w:r>
        <w:rPr>
          <w:b/>
          <w:bCs/>
        </w:rPr>
        <w:t xml:space="preserve">GDPR Principles (Art.5):</w:t>
      </w:r>
      <w:r>
        <w:t xml:space="preserve"> </w:t>
      </w:r>
      <w:r>
        <w:t xml:space="preserve">We must adhere to the core principles: lawfulness, fairness &amp; transparency; purpose limitation; data minimization; accuracy; storage limitation; integrity/confidentiality; and accountability</w:t>
      </w:r>
      <w:hyperlink r:id="rId38">
        <w:r>
          <w:rPr>
            <w:rStyle w:val="Hyperlink"/>
          </w:rPr>
          <w:t xml:space="preserve">[18]</w:t>
        </w:r>
      </w:hyperlink>
      <w:hyperlink r:id="rId39">
        <w:r>
          <w:rPr>
            <w:rStyle w:val="Hyperlink"/>
          </w:rPr>
          <w:t xml:space="preserve">[19]</w:t>
        </w:r>
      </w:hyperlink>
      <w:r>
        <w:t xml:space="preserve">. For example, we should collect only necessary patient data (minimize PII fields), keep records accurate and up-to-date, and delete or anonymize data when no longer needed. Storage limitation is important: we might keep EU dental records for, say, 7 years (common in healthcare), but we should justify this against “no longer than necessary”</w:t>
      </w:r>
      <w:hyperlink r:id="rId40">
        <w:r>
          <w:rPr>
            <w:rStyle w:val="Hyperlink"/>
          </w:rPr>
          <w:t xml:space="preserve">[20]</w:t>
        </w:r>
      </w:hyperlink>
      <w:r>
        <w:t xml:space="preserve">. We must document all processing (Records of Processing Activities) and be prepared to show compliance (accountability)</w:t>
      </w:r>
      <w:hyperlink r:id="rId41">
        <w:r>
          <w:rPr>
            <w:rStyle w:val="Hyperlink"/>
          </w:rPr>
          <w:t xml:space="preserve">[21]</w:t>
        </w:r>
      </w:hyperlink>
      <w:r>
        <w:t xml:space="preserve">.</w:t>
      </w:r>
    </w:p>
    <w:p>
      <w:pPr>
        <w:pStyle w:val="BodyText"/>
      </w:pPr>
      <w:r>
        <w:rPr>
          <w:b/>
          <w:bCs/>
        </w:rPr>
        <w:t xml:space="preserve">Lawful Basis:</w:t>
      </w:r>
      <w:r>
        <w:t xml:space="preserve"> </w:t>
      </w:r>
      <w:r>
        <w:t xml:space="preserve">Likely bases:</w:t>
      </w:r>
      <w:r>
        <w:t xml:space="preserve"> </w:t>
      </w:r>
      <w:r>
        <w:rPr>
          <w:b/>
          <w:bCs/>
        </w:rPr>
        <w:t xml:space="preserve">Contractual necessity</w:t>
      </w:r>
      <w:r>
        <w:t xml:space="preserve"> </w:t>
      </w:r>
      <w:r>
        <w:t xml:space="preserve">(GDPR Art.6(b)) for processing patient treatment data (we need their info to arrange care), and</w:t>
      </w:r>
      <w:r>
        <w:t xml:space="preserve"> </w:t>
      </w:r>
      <w:r>
        <w:rPr>
          <w:b/>
          <w:bCs/>
        </w:rPr>
        <w:t xml:space="preserve">explicit consent</w:t>
      </w:r>
      <w:r>
        <w:t xml:space="preserve"> </w:t>
      </w:r>
      <w:r>
        <w:t xml:space="preserve">(Art.9) for any special category data (health information, X-rays). We should obtain clear consent for sensitive data (perhaps as part of the patient intake forms)</w:t>
      </w:r>
      <w:hyperlink r:id="rId38">
        <w:r>
          <w:rPr>
            <w:rStyle w:val="Hyperlink"/>
          </w:rPr>
          <w:t xml:space="preserve">[18]</w:t>
        </w:r>
      </w:hyperlink>
      <w:r>
        <w:t xml:space="preserve">. Marketing emails require opt-in consent under GDPR (and UK’s PECR rules). We must always inform patients of how we use their data (via a Privacy Policy).</w:t>
      </w:r>
    </w:p>
    <w:p>
      <w:pPr>
        <w:pStyle w:val="BodyText"/>
      </w:pPr>
      <w:r>
        <w:rPr>
          <w:b/>
          <w:bCs/>
        </w:rPr>
        <w:t xml:space="preserve">Data Subject Rights:</w:t>
      </w:r>
      <w:r>
        <w:t xml:space="preserve"> </w:t>
      </w:r>
      <w:r>
        <w:t xml:space="preserve">Under GDPR, patients have rights mirroring HIPAA plus additional ones:</w:t>
      </w:r>
      <w:r>
        <w:br/>
      </w:r>
      <w:r>
        <w:t xml:space="preserve">-</w:t>
      </w:r>
      <w:r>
        <w:t xml:space="preserve"> </w:t>
      </w:r>
      <w:r>
        <w:rPr>
          <w:b/>
          <w:bCs/>
        </w:rPr>
        <w:t xml:space="preserve">Right of Access (Art.15):</w:t>
      </w:r>
      <w:r>
        <w:t xml:space="preserve"> </w:t>
      </w:r>
      <w:r>
        <w:t xml:space="preserve">We must confirm if we process data and furnish a copy, including info on processing (purpose, recipients, retention, rights)</w:t>
      </w:r>
      <w:hyperlink r:id="rId42">
        <w:r>
          <w:rPr>
            <w:rStyle w:val="Hyperlink"/>
          </w:rPr>
          <w:t xml:space="preserve">[22]</w:t>
        </w:r>
      </w:hyperlink>
      <w:r>
        <w:t xml:space="preserve">. We have 1 month (extendable to 2 additional months) to comply. We should implement a self-service portal or at least an automated export (JSON/CSV)</w:t>
      </w:r>
      <w:hyperlink r:id="rId43">
        <w:r>
          <w:rPr>
            <w:rStyle w:val="Hyperlink"/>
          </w:rPr>
          <w:t xml:space="preserve">[23]</w:t>
        </w:r>
      </w:hyperlink>
      <w:r>
        <w:t xml:space="preserve">. The law actually requires “machine-readable format” (JSON/CSV)</w:t>
      </w:r>
      <w:hyperlink r:id="rId43">
        <w:r>
          <w:rPr>
            <w:rStyle w:val="Hyperlink"/>
          </w:rPr>
          <w:t xml:space="preserve">[23]</w:t>
        </w:r>
      </w:hyperlink>
      <w:r>
        <w:t xml:space="preserve">; PDF alone may not qualify as “machine-readable,” though we could offer both.</w:t>
      </w:r>
      <w:r>
        <w:br/>
      </w:r>
      <w:r>
        <w:t xml:space="preserve">-</w:t>
      </w:r>
      <w:r>
        <w:t xml:space="preserve"> </w:t>
      </w:r>
      <w:r>
        <w:rPr>
          <w:b/>
          <w:bCs/>
        </w:rPr>
        <w:t xml:space="preserve">Right to Rectification (Art.16):</w:t>
      </w:r>
      <w:r>
        <w:t xml:space="preserve"> </w:t>
      </w:r>
      <w:r>
        <w:t xml:space="preserve">We must correct any inaccurate personal data upon request. Our UI should allow patients to edit certain fields, or our support team should handle amendments.</w:t>
      </w:r>
      <w:r>
        <w:br/>
      </w:r>
      <w:r>
        <w:t xml:space="preserve">-</w:t>
      </w:r>
      <w:r>
        <w:t xml:space="preserve"> </w:t>
      </w:r>
      <w:r>
        <w:rPr>
          <w:b/>
          <w:bCs/>
        </w:rPr>
        <w:t xml:space="preserve">Right to Erasure (Art.17, “Right to be Forgotten”):</w:t>
      </w:r>
      <w:r>
        <w:t xml:space="preserve"> </w:t>
      </w:r>
      <w:r>
        <w:t xml:space="preserve">Patients can demand deletion of their data if it’s no longer needed or consent is withdrawn</w:t>
      </w:r>
      <w:hyperlink r:id="rId44">
        <w:r>
          <w:rPr>
            <w:rStyle w:val="Hyperlink"/>
          </w:rPr>
          <w:t xml:space="preserve">[24]</w:t>
        </w:r>
      </w:hyperlink>
      <w:r>
        <w:t xml:space="preserve">. This conflicts with medical record retention laws (some EU countries require keeping patient records for years). We must carefully reconcile: likely we must delete as much as possible unless there is a legal requirement to keep (e.g. public health or statutory retention). At minimum we should anonymize data if full deletion isn’t allowed by law. This must be documented in policy.</w:t>
      </w:r>
      <w:r>
        <w:br/>
      </w:r>
      <w:r>
        <w:t xml:space="preserve">-</w:t>
      </w:r>
      <w:r>
        <w:t xml:space="preserve"> </w:t>
      </w:r>
      <w:r>
        <w:rPr>
          <w:b/>
          <w:bCs/>
        </w:rPr>
        <w:t xml:space="preserve">Right to Data Portability (Art.20):</w:t>
      </w:r>
      <w:r>
        <w:t xml:space="preserve"> </w:t>
      </w:r>
      <w:r>
        <w:t xml:space="preserve">Patients can request their data in a structured, machine-readable format</w:t>
      </w:r>
      <w:hyperlink r:id="rId43">
        <w:r>
          <w:rPr>
            <w:rStyle w:val="Hyperlink"/>
          </w:rPr>
          <w:t xml:space="preserve">[23]</w:t>
        </w:r>
      </w:hyperlink>
      <w:r>
        <w:t xml:space="preserve">. We should support exporting data (e.g. JSON export of their profile, treatment plan). The law says “commonly used, machine-readable format,” which implies JSON/CSV. We should plan to deliver it easily (e.g. trigger on request).</w:t>
      </w:r>
      <w:r>
        <w:br/>
      </w:r>
      <w:r>
        <w:t xml:space="preserve">-</w:t>
      </w:r>
      <w:r>
        <w:t xml:space="preserve"> </w:t>
      </w:r>
      <w:r>
        <w:rPr>
          <w:b/>
          <w:bCs/>
        </w:rPr>
        <w:t xml:space="preserve">Right to Object (Art.21):</w:t>
      </w:r>
      <w:r>
        <w:t xml:space="preserve"> </w:t>
      </w:r>
      <w:r>
        <w:t xml:space="preserve">If a patient objects to marketing or profiling, we must stop immediately. E.g. if they unsubscribe, we must honor that without delay.</w:t>
      </w:r>
      <w:r>
        <w:br/>
      </w:r>
      <w:r>
        <w:t xml:space="preserve">-</w:t>
      </w:r>
      <w:r>
        <w:t xml:space="preserve"> </w:t>
      </w:r>
      <w:r>
        <w:rPr>
          <w:b/>
          <w:bCs/>
        </w:rPr>
        <w:t xml:space="preserve">Right to Restrict Processing (Art.18):</w:t>
      </w:r>
      <w:r>
        <w:t xml:space="preserve"> </w:t>
      </w:r>
      <w:r>
        <w:t xml:space="preserve">If a patient disputes data accuracy or demands suspension, we must freeze processing until resolved.</w:t>
      </w:r>
    </w:p>
    <w:p>
      <w:pPr>
        <w:pStyle w:val="BodyText"/>
      </w:pPr>
      <w:r>
        <w:t xml:space="preserve">Our platform should include clear workflows for these requests. For example, a Data Subject Access Request (DSAR) form that triggers internal processes to verify identity and extract data. We cannot charge for a first access request (except for excessive/repeated requests, a “reasonable fee” is allowed). We must handle them promptly.</w:t>
      </w:r>
    </w:p>
    <w:p>
      <w:pPr>
        <w:pStyle w:val="BodyText"/>
      </w:pPr>
      <w:r>
        <w:rPr>
          <w:b/>
          <w:bCs/>
        </w:rPr>
        <w:t xml:space="preserve">Cross-Border Transfers (EU/UK → Turkey):</w:t>
      </w:r>
      <w:r>
        <w:t xml:space="preserve"> </w:t>
      </w:r>
      <w:r>
        <w:t xml:space="preserve">Turkey is</w:t>
      </w:r>
      <w:r>
        <w:t xml:space="preserve"> </w:t>
      </w:r>
      <w:r>
        <w:rPr>
          <w:i/>
          <w:iCs/>
        </w:rPr>
        <w:t xml:space="preserve">not</w:t>
      </w:r>
      <w:r>
        <w:t xml:space="preserve"> </w:t>
      </w:r>
      <w:r>
        <w:t xml:space="preserve">on the EU’s adequacy list, so data transfers from EU/UK to Turkey require safeguards. Under GDPR Art.46, we must employ “appropriate safeguards” – typically</w:t>
      </w:r>
      <w:r>
        <w:t xml:space="preserve"> </w:t>
      </w:r>
      <w:r>
        <w:rPr>
          <w:b/>
          <w:bCs/>
        </w:rPr>
        <w:t xml:space="preserve">Standard Contractual Clauses (SCCs)</w:t>
      </w:r>
      <w:r>
        <w:t xml:space="preserve"> </w:t>
      </w:r>
      <w:r>
        <w:t xml:space="preserve">with Turkish clinics</w:t>
      </w:r>
      <w:hyperlink r:id="rId45">
        <w:r>
          <w:rPr>
            <w:rStyle w:val="Hyperlink"/>
          </w:rPr>
          <w:t xml:space="preserve">[25]</w:t>
        </w:r>
      </w:hyperlink>
      <w:hyperlink r:id="rId46">
        <w:r>
          <w:rPr>
            <w:rStyle w:val="Hyperlink"/>
          </w:rPr>
          <w:t xml:space="preserve">[26]</w:t>
        </w:r>
      </w:hyperlink>
      <w:r>
        <w:t xml:space="preserve">. We should have SCCs (recent 2021 EU model) included in our agreements with Turkish partners. Additionally, we can rely on explicit patient consent for the transfer (Art.49 derogation) by having patients acknowledge that their data will be sent to Turkey for treatment. UK GDPR also requires safeguard to Turkey (Turkey not “adequate” for UK either), so same approach. For completeness, if any transfers go the other way (e.g. Turkish patient data sent to EU), Turkey’s KVKK requires either explicit consent or proof of adequate protection</w:t>
      </w:r>
      <w:hyperlink r:id="rId47">
        <w:r>
          <w:rPr>
            <w:rStyle w:val="Hyperlink"/>
          </w:rPr>
          <w:t xml:space="preserve">[27]</w:t>
        </w:r>
      </w:hyperlink>
      <w:r>
        <w:t xml:space="preserve">, but since our patients are EU/UK, we focus on GD</w:t>
      </w:r>
      <w:r>
        <w:softHyphen/>
      </w:r>
      <w:r>
        <w:t xml:space="preserve">PR compliance.</w:t>
      </w:r>
    </w:p>
    <w:p>
      <w:pPr>
        <w:pStyle w:val="BodyText"/>
      </w:pPr>
      <w:r>
        <w:rPr>
          <w:b/>
          <w:bCs/>
        </w:rPr>
        <w:t xml:space="preserve">GDPR Governance:</w:t>
      </w:r>
      <w:r>
        <w:t xml:space="preserve"> </w:t>
      </w:r>
      <w:r>
        <w:t xml:space="preserve">We should appoint a Data Protection Officer (DPO) or similar, since we are processing large-scale sensitive health data. We must conduct a</w:t>
      </w:r>
      <w:r>
        <w:t xml:space="preserve"> </w:t>
      </w:r>
      <w:r>
        <w:rPr>
          <w:b/>
          <w:bCs/>
        </w:rPr>
        <w:t xml:space="preserve">DPIA</w:t>
      </w:r>
      <w:r>
        <w:t xml:space="preserve"> </w:t>
      </w:r>
      <w:r>
        <w:t xml:space="preserve">before launch (Article 35), because processing medical records and AI (Pearl’s imaging analysis) is “large-scale processing of special categories”</w:t>
      </w:r>
      <w:hyperlink r:id="rId48">
        <w:r>
          <w:rPr>
            <w:rStyle w:val="Hyperlink"/>
          </w:rPr>
          <w:t xml:space="preserve">[28]</w:t>
        </w:r>
      </w:hyperlink>
      <w:r>
        <w:t xml:space="preserve">. A DPIA template should list risks (breach of sensitive data, AI misdiagnosis, etc.) and mitigations (encryption, audits, AI validation). We must also maintain Records of Processing Activities (ROPA) detailing data categories, purposes, retention, and transfers for auditability.</w:t>
      </w:r>
    </w:p>
    <w:p>
      <w:pPr>
        <w:pStyle w:val="BodyText"/>
      </w:pPr>
      <w:r>
        <w:rPr>
          <w:b/>
          <w:bCs/>
        </w:rPr>
        <w:t xml:space="preserve">GDPR Enforcement:</w:t>
      </w:r>
      <w:r>
        <w:t xml:space="preserve"> </w:t>
      </w:r>
      <w:r>
        <w:t xml:space="preserve">GDPR fines are severe: up to €20M or 4% of global turnover for the worst violations (e.g. unlawful processing, failing DS rights)</w:t>
      </w:r>
      <w:hyperlink r:id="rId44">
        <w:r>
          <w:rPr>
            <w:rStyle w:val="Hyperlink"/>
          </w:rPr>
          <w:t xml:space="preserve">[24]</w:t>
        </w:r>
      </w:hyperlink>
      <w:hyperlink r:id="rId43">
        <w:r>
          <w:rPr>
            <w:rStyle w:val="Hyperlink"/>
          </w:rPr>
          <w:t xml:space="preserve">[23]</w:t>
        </w:r>
      </w:hyperlink>
      <w:r>
        <w:t xml:space="preserve">. Lesser breaches cost up to €10M/2%. Healthcare companies have received multi-million-Euro penalties (e.g. British Airways ~€20M breach fine, though not healthcare). We must budget for potential fines. Non-compliance (e.g. ignoring DSARs, not having lawful basis) could easily trigger the higher tier penalties.</w:t>
      </w:r>
    </w:p>
    <w:bookmarkEnd w:id="49"/>
    <w:bookmarkStart w:id="53" w:name="Xef6c6b43e662e6e3b8a71c9a7b199749ed4cf04"/>
    <w:p>
      <w:pPr>
        <w:pStyle w:val="Heading2"/>
      </w:pPr>
      <w:r>
        <w:t xml:space="preserve">ISO/IEC 27001 (Information Security Standard)</w:t>
      </w:r>
    </w:p>
    <w:p>
      <w:pPr>
        <w:pStyle w:val="FirstParagraph"/>
      </w:pPr>
      <w:r>
        <w:t xml:space="preserve">ISO 27001 is an</w:t>
      </w:r>
      <w:r>
        <w:t xml:space="preserve"> </w:t>
      </w:r>
      <w:r>
        <w:rPr>
          <w:b/>
          <w:bCs/>
        </w:rPr>
        <w:t xml:space="preserve">international information security management standard</w:t>
      </w:r>
      <w:r>
        <w:t xml:space="preserve"> </w:t>
      </w:r>
      <w:r>
        <w:t xml:space="preserve">(not law, but a common certification). It defines an ISMS (Information Security Management System) with required policies, risk management, and Annex A controls. Pursuing ISO 27001 is</w:t>
      </w:r>
      <w:r>
        <w:t xml:space="preserve"> </w:t>
      </w:r>
      <w:r>
        <w:rPr>
          <w:b/>
          <w:bCs/>
        </w:rPr>
        <w:t xml:space="preserve">not legally required</w:t>
      </w:r>
      <w:r>
        <w:t xml:space="preserve">, but it is a strong trust signal and often demanded by enterprise clients. For example, many health tech companies (Salesforce Health Cloud, Athenahealth) hold ISO 27001 certification.</w:t>
      </w:r>
    </w:p>
    <w:p>
      <w:pPr>
        <w:numPr>
          <w:ilvl w:val="0"/>
          <w:numId w:val="1003"/>
        </w:numPr>
      </w:pPr>
      <w:r>
        <w:rPr>
          <w:b/>
          <w:bCs/>
        </w:rPr>
        <w:t xml:space="preserve">Scope &amp; Cost:</w:t>
      </w:r>
      <w:r>
        <w:t xml:space="preserve"> </w:t>
      </w:r>
      <w:r>
        <w:t xml:space="preserve">To certify, we’d define our scope (e.g. all dev+prod systems handling patient data). Gap analysis: we must document all required policies, risk assessments, and control implementations. The Annex A (2022 version) contains</w:t>
      </w:r>
      <w:r>
        <w:t xml:space="preserve"> </w:t>
      </w:r>
      <w:r>
        <w:rPr>
          <w:b/>
          <w:bCs/>
        </w:rPr>
        <w:t xml:space="preserve">93 controls</w:t>
      </w:r>
      <w:r>
        <w:t xml:space="preserve"> </w:t>
      </w:r>
      <w:r>
        <w:t xml:space="preserve">(down from 114 in the 2013 version) in categories like Access Control, Cryptography, Physical Security, Operations, etc.</w:t>
      </w:r>
      <w:hyperlink r:id="rId50">
        <w:r>
          <w:rPr>
            <w:rStyle w:val="Hyperlink"/>
          </w:rPr>
          <w:t xml:space="preserve">[29]</w:t>
        </w:r>
      </w:hyperlink>
      <w:r>
        <w:t xml:space="preserve">. We need to adopt relevant controls (e.g., robust encryption policies, asset inventory, supplier security). The Statement of Applicability (SoA) will list which controls we implement or exclude (and why). Typical timeline to get certified is ~6–12 months, with external audit fees in the €20k–€50k range up front (plus annual surveillance audits and 3-year recert). Many of our engineering efforts (RBAC, logging, encryption) overlap with ISO requirements, but additional work includes formalizing a risk register, conducting internal audits, and writing extensive documentation.</w:t>
      </w:r>
    </w:p>
    <w:p>
      <w:pPr>
        <w:numPr>
          <w:ilvl w:val="0"/>
          <w:numId w:val="1003"/>
        </w:numPr>
      </w:pPr>
      <w:r>
        <w:rPr>
          <w:b/>
          <w:bCs/>
        </w:rPr>
        <w:t xml:space="preserve">Gap Analysis:</w:t>
      </w:r>
      <w:r>
        <w:t xml:space="preserve"> </w:t>
      </w:r>
      <w:r>
        <w:t xml:space="preserve">Immediately, we have some controls: e.g. we (likely) have policies on user access (Supabase RBAC), use TLS (Art. 46 requires encryption), hashed passwords, backups. Gaps will be: formal policies (Information Security Policy, Access Control Policy, Data Retention Policy, Incident Response Plan) and records (risk assessments, asset inventory, training logs). We’ll need physical policies (e.g. even though we use cloud, ensure dev’s workstations are secured), vendor assessments, and continual improvement processes. A risk assessment template should consider threats to patient data (external breaches, insider misuse, lost devices, etc.) and rate impact/likelihood.</w:t>
      </w:r>
    </w:p>
    <w:p>
      <w:pPr>
        <w:numPr>
          <w:ilvl w:val="0"/>
          <w:numId w:val="1003"/>
        </w:numPr>
      </w:pPr>
      <w:r>
        <w:rPr>
          <w:b/>
          <w:bCs/>
        </w:rPr>
        <w:t xml:space="preserve">ISO vs SOC 2:</w:t>
      </w:r>
      <w:r>
        <w:t xml:space="preserve"> </w:t>
      </w:r>
      <w:r>
        <w:t xml:space="preserve">SOC 2 (Type II) is a similar assurance framework (common in US SaaS) focused on security, availability, confidentiality, etc. We already use Supabase which is SOC 2 certified, and Vercel as well. However, SOC 2 reports are typically customer/auditor-specific, whereas ISO 27001 is a formal certification recognized globally. For our</w:t>
      </w:r>
      <w:r>
        <w:t xml:space="preserve"> </w:t>
      </w:r>
      <w:r>
        <w:rPr>
          <w:b/>
          <w:bCs/>
        </w:rPr>
        <w:t xml:space="preserve">EU-focused market</w:t>
      </w:r>
      <w:r>
        <w:t xml:space="preserve">, ISO 27001 may carry more weight. SOC 2 Type 2 could be easier/cheaper (2-6 months to complete with a CPA auditor</w:t>
      </w:r>
      <w:hyperlink r:id="rId51">
        <w:r>
          <w:rPr>
            <w:rStyle w:val="Hyperlink"/>
          </w:rPr>
          <w:t xml:space="preserve">[30]</w:t>
        </w:r>
      </w:hyperlink>
      <w:r>
        <w:t xml:space="preserve">), but ISO 27001 aligns with EU clients’ expectations and complements GDPR. In fact, SOC 2 and ISO overlap a lot: “80–100% of SOC 2 controls can map to ISO 27001 Annex A”</w:t>
      </w:r>
      <w:hyperlink r:id="rId52">
        <w:r>
          <w:rPr>
            <w:rStyle w:val="Hyperlink"/>
          </w:rPr>
          <w:t xml:space="preserve">[31]</w:t>
        </w:r>
      </w:hyperlink>
      <w:r>
        <w:t xml:space="preserve">.</w:t>
      </w:r>
    </w:p>
    <w:p>
      <w:pPr>
        <w:pStyle w:val="FirstParagraph"/>
      </w:pPr>
      <w:r>
        <w:rPr>
          <w:b/>
          <w:bCs/>
        </w:rPr>
        <w:t xml:space="preserve">Recommendation:</w:t>
      </w:r>
      <w:r>
        <w:t xml:space="preserve"> </w:t>
      </w:r>
      <w:r>
        <w:t xml:space="preserve">In the short term, focus on ISO 27001 readiness (document policies, implement controls, prepare risk assessment and SoA) without rushing to certify. This creates a roadmap: initial certification could follow in ~9–12 months. Alternatively, we could do a quick SOC 2 Type II to satisfy any US prospects (it’s often faster for startups</w:t>
      </w:r>
      <w:hyperlink r:id="rId51">
        <w:r>
          <w:rPr>
            <w:rStyle w:val="Hyperlink"/>
          </w:rPr>
          <w:t xml:space="preserve">[30]</w:t>
        </w:r>
      </w:hyperlink>
      <w:r>
        <w:t xml:space="preserve">). But given our primary EU patient base, ISO 27001 certification is probably the strategic “moat” for enterprise trust. We should at least start building an ISMS now so that if we seek certification, the gap is smaller.</w:t>
      </w:r>
    </w:p>
    <w:bookmarkEnd w:id="53"/>
    <w:bookmarkStart w:id="57" w:name="other-regulations"/>
    <w:p>
      <w:pPr>
        <w:pStyle w:val="Heading2"/>
      </w:pPr>
      <w:r>
        <w:t xml:space="preserve">Other Regulations</w:t>
      </w:r>
    </w:p>
    <w:p>
      <w:pPr>
        <w:numPr>
          <w:ilvl w:val="0"/>
          <w:numId w:val="1004"/>
        </w:numPr>
      </w:pPr>
      <w:r>
        <w:rPr>
          <w:b/>
          <w:bCs/>
        </w:rPr>
        <w:t xml:space="preserve">Turkish Data Protection (KVKK):</w:t>
      </w:r>
      <w:r>
        <w:t xml:space="preserve"> </w:t>
      </w:r>
      <w:r>
        <w:t xml:space="preserve">Turkey’s Personal Data Protection Law (KVKK) resembles GDPR but is separate. It requires data controllers in Turkey to have legal basis (consent, contract, etc.)</w:t>
      </w:r>
      <w:hyperlink r:id="rId54">
        <w:r>
          <w:rPr>
            <w:rStyle w:val="Hyperlink"/>
          </w:rPr>
          <w:t xml:space="preserve">[32]</w:t>
        </w:r>
      </w:hyperlink>
      <w:r>
        <w:t xml:space="preserve"> </w:t>
      </w:r>
      <w:r>
        <w:t xml:space="preserve">and mandates explicit consent by default. It also imposes an electronic registry requirement. Importantly, KVKK forbids transfers abroad without consent or adequate safeguards</w:t>
      </w:r>
      <w:hyperlink r:id="rId47">
        <w:r>
          <w:rPr>
            <w:rStyle w:val="Hyperlink"/>
          </w:rPr>
          <w:t xml:space="preserve">[27]</w:t>
        </w:r>
      </w:hyperlink>
      <w:r>
        <w:t xml:space="preserve">. For our use-case, any data we process on behalf of Turkish patients (if any) would fall under KVKK. In practice, since we deal with EU/UK patients, the key point is that</w:t>
      </w:r>
      <w:r>
        <w:t xml:space="preserve"> </w:t>
      </w:r>
      <w:r>
        <w:rPr>
          <w:b/>
          <w:bCs/>
        </w:rPr>
        <w:t xml:space="preserve">Turkey is not an “adequate” country to the EU</w:t>
      </w:r>
      <w:r>
        <w:t xml:space="preserve">, and under KVKK Article 9, any transfer out of Turkey requires explicit consent or board approval</w:t>
      </w:r>
      <w:hyperlink r:id="rId47">
        <w:r>
          <w:rPr>
            <w:rStyle w:val="Hyperlink"/>
          </w:rPr>
          <w:t xml:space="preserve">[27]</w:t>
        </w:r>
      </w:hyperlink>
      <w:r>
        <w:t xml:space="preserve">. Conversely, for EU data coming into Turkey, we must ensure either patient consent or SCCs as mentioned. We should align our GDPR compliance effort closely with KVKK: use a Privacy Policy covering both laws, get explicit opt-in for Turkey transfers, and possibly register with the Turkish DPA if required. KVKK fines can be hefty too, so it’s wise to follow its rules on consent, data security, and breach notifications.</w:t>
      </w:r>
    </w:p>
    <w:p>
      <w:pPr>
        <w:numPr>
          <w:ilvl w:val="0"/>
          <w:numId w:val="1004"/>
        </w:numPr>
      </w:pPr>
      <w:r>
        <w:rPr>
          <w:b/>
          <w:bCs/>
        </w:rPr>
        <w:t xml:space="preserve">UK GDPR (Post-Brexit):</w:t>
      </w:r>
      <w:r>
        <w:t xml:space="preserve"> </w:t>
      </w:r>
      <w:r>
        <w:t xml:space="preserve">The UK now has its own GDPR, virtually identical to the EU’s. The EU and UK each consider the other “adequate” (transfers permitted)</w:t>
      </w:r>
      <w:hyperlink r:id="rId37">
        <w:r>
          <w:rPr>
            <w:rStyle w:val="Hyperlink"/>
          </w:rPr>
          <w:t xml:space="preserve">[17]</w:t>
        </w:r>
      </w:hyperlink>
      <w:r>
        <w:t xml:space="preserve">. We should treat UK patient data under the same policies as EU data. We will need an EU Representative for EU privacy compliance since we’re not EU-based, and a UK Representative for UK data (per UK GDPR). However, given the ongoing alignment, one combined privacy framework can cover both, updating any references. The UK ICO oversees compliance in the UK (similar to EU DPAs).</w:t>
      </w:r>
    </w:p>
    <w:p>
      <w:pPr>
        <w:numPr>
          <w:ilvl w:val="0"/>
          <w:numId w:val="1004"/>
        </w:numPr>
      </w:pPr>
      <w:r>
        <w:rPr>
          <w:b/>
          <w:bCs/>
        </w:rPr>
        <w:t xml:space="preserve">AI/Medical Device Regulations:</w:t>
      </w:r>
      <w:r>
        <w:t xml:space="preserve"> </w:t>
      </w:r>
      <w:r>
        <w:t xml:space="preserve">Our platform may integrate AI analysis (e.g. Pearl AI for X-rays, Overjet). Those AI tools are likely already FDA-cleared and CE-marked as medical devices. We are merely sending data to them and displaying results; we do not claim diagnostic output, so</w:t>
      </w:r>
      <w:r>
        <w:t xml:space="preserve"> </w:t>
      </w:r>
      <w:r>
        <w:rPr>
          <w:b/>
          <w:bCs/>
        </w:rPr>
        <w:t xml:space="preserve">our platform is not itself a medical device</w:t>
      </w:r>
      <w:r>
        <w:t xml:space="preserve">. We should ensure any AI output is clearly labeled for “clinical decision support only” and that we do not inadvertently “create” a new medical device by combining or modifying those outputs. If in future we develop proprietary AI for diagnosis, we’d then enter FDA’s Software as Medical Device (SaMD) and EU Medical Device Regulation (MDR) realms (which require CE marking). For now, we can rely on our AI vendors’ certifications and include disclaimers (e.g. “AI analysis is for reference only”).</w:t>
      </w:r>
    </w:p>
    <w:p>
      <w:pPr>
        <w:numPr>
          <w:ilvl w:val="0"/>
          <w:numId w:val="1004"/>
        </w:numPr>
      </w:pPr>
      <w:r>
        <w:rPr>
          <w:b/>
          <w:bCs/>
        </w:rPr>
        <w:t xml:space="preserve">Other Healthcare Standards:</w:t>
      </w:r>
      <w:r>
        <w:t xml:space="preserve"> </w:t>
      </w:r>
      <w:r>
        <w:t xml:space="preserve">While not asked, note that some local or insurer requirements (e.g., Turkish Ministry of Health, EU healthcare directives) may apply. We should verify that Turkish clinics using our platform remain compliant with their local healthcare privacy laws (KVKK and any Ministry guidelines).</w:t>
      </w:r>
    </w:p>
    <w:p>
      <w:r>
        <w:pict>
          <v:rect style="width:0;height:1.5pt" o:hralign="center" o:hrstd="t" o:hr="t"/>
        </w:pict>
      </w:r>
    </w:p>
    <w:p>
      <w:pPr>
        <w:pStyle w:val="FirstParagraph"/>
      </w:pPr>
      <w:r>
        <w:rPr>
          <w:b/>
          <w:bCs/>
        </w:rPr>
        <w:t xml:space="preserve">In summary</w:t>
      </w:r>
      <w:r>
        <w:t xml:space="preserve">, to operate legally and securely we must assume</w:t>
      </w:r>
      <w:r>
        <w:t xml:space="preserve"> </w:t>
      </w:r>
      <w:r>
        <w:rPr>
          <w:b/>
          <w:bCs/>
        </w:rPr>
        <w:t xml:space="preserve">HIPAA</w:t>
      </w:r>
      <w:r>
        <w:t xml:space="preserve"> </w:t>
      </w:r>
      <w:r>
        <w:t xml:space="preserve">compliance</w:t>
      </w:r>
      <w:r>
        <w:t xml:space="preserve"> </w:t>
      </w:r>
      <w:r>
        <w:rPr>
          <w:i/>
          <w:iCs/>
        </w:rPr>
        <w:t xml:space="preserve">if</w:t>
      </w:r>
      <w:r>
        <w:t xml:space="preserve"> </w:t>
      </w:r>
      <w:r>
        <w:t xml:space="preserve">we serve any US patients (treat our platform as a HIPAA Business Associate with a signed BAA)</w:t>
      </w:r>
      <w:hyperlink r:id="rId21">
        <w:r>
          <w:rPr>
            <w:rStyle w:val="Hyperlink"/>
          </w:rPr>
          <w:t xml:space="preserve">[1]</w:t>
        </w:r>
      </w:hyperlink>
      <w:r>
        <w:t xml:space="preserve">, implement all required administrative/technical safeguards</w:t>
      </w:r>
      <w:hyperlink r:id="rId22">
        <w:r>
          <w:rPr>
            <w:rStyle w:val="Hyperlink"/>
          </w:rPr>
          <w:t xml:space="preserve">[2]</w:t>
        </w:r>
      </w:hyperlink>
      <w:hyperlink r:id="rId23">
        <w:r>
          <w:rPr>
            <w:rStyle w:val="Hyperlink"/>
          </w:rPr>
          <w:t xml:space="preserve">[3]</w:t>
        </w:r>
      </w:hyperlink>
      <w:r>
        <w:t xml:space="preserve">, and have a breach response plan</w:t>
      </w:r>
      <w:hyperlink r:id="rId32">
        <w:r>
          <w:rPr>
            <w:rStyle w:val="Hyperlink"/>
          </w:rPr>
          <w:t xml:space="preserve">[12]</w:t>
        </w:r>
      </w:hyperlink>
      <w:r>
        <w:t xml:space="preserve">. For our main market,</w:t>
      </w:r>
      <w:r>
        <w:t xml:space="preserve"> </w:t>
      </w:r>
      <w:r>
        <w:rPr>
          <w:b/>
          <w:bCs/>
        </w:rPr>
        <w:t xml:space="preserve">GDPR</w:t>
      </w:r>
      <w:r>
        <w:t xml:space="preserve"> </w:t>
      </w:r>
      <w:r>
        <w:t xml:space="preserve">compliance is mandatory: we must clarify controller/processor roles, establish lawful bases (contract vs. consent), honor all data subject rights (responding in 1 month</w:t>
      </w:r>
      <w:hyperlink r:id="rId29">
        <w:r>
          <w:rPr>
            <w:rStyle w:val="Hyperlink"/>
          </w:rPr>
          <w:t xml:space="preserve">[9]</w:t>
        </w:r>
      </w:hyperlink>
      <w:hyperlink r:id="rId42">
        <w:r>
          <w:rPr>
            <w:rStyle w:val="Hyperlink"/>
          </w:rPr>
          <w:t xml:space="preserve">[22]</w:t>
        </w:r>
      </w:hyperlink>
      <w:r>
        <w:t xml:space="preserve">), and legalize EU→Turkey transfers via SCCs</w:t>
      </w:r>
      <w:hyperlink r:id="rId45">
        <w:r>
          <w:rPr>
            <w:rStyle w:val="Hyperlink"/>
          </w:rPr>
          <w:t xml:space="preserve">[25]</w:t>
        </w:r>
      </w:hyperlink>
      <w:hyperlink r:id="rId46">
        <w:r>
          <w:rPr>
            <w:rStyle w:val="Hyperlink"/>
          </w:rPr>
          <w:t xml:space="preserve">[26]</w:t>
        </w:r>
      </w:hyperlink>
      <w:r>
        <w:t xml:space="preserve"> </w:t>
      </w:r>
      <w:r>
        <w:t xml:space="preserve">and patient consent. Pursuing</w:t>
      </w:r>
      <w:r>
        <w:t xml:space="preserve"> </w:t>
      </w:r>
      <w:r>
        <w:rPr>
          <w:b/>
          <w:bCs/>
        </w:rPr>
        <w:t xml:space="preserve">ISO 27001</w:t>
      </w:r>
      <w:r>
        <w:t xml:space="preserve"> </w:t>
      </w:r>
      <w:r>
        <w:t xml:space="preserve">certification is not required but would be a strong differentiator; at a minimum, we should build an ISMS and address Annex A controls</w:t>
      </w:r>
      <w:hyperlink r:id="rId50">
        <w:r>
          <w:rPr>
            <w:rStyle w:val="Hyperlink"/>
          </w:rPr>
          <w:t xml:space="preserve">[29]</w:t>
        </w:r>
      </w:hyperlink>
      <w:r>
        <w:t xml:space="preserve">, and compare it with SOC 2 needs (SOC 2 Type II might be a quicker US-focused trust signal)</w:t>
      </w:r>
      <w:hyperlink r:id="rId55">
        <w:r>
          <w:rPr>
            <w:rStyle w:val="Hyperlink"/>
          </w:rPr>
          <w:t xml:space="preserve">[33]</w:t>
        </w:r>
      </w:hyperlink>
      <w:hyperlink r:id="rId51">
        <w:r>
          <w:rPr>
            <w:rStyle w:val="Hyperlink"/>
          </w:rPr>
          <w:t xml:space="preserve">[30]</w:t>
        </w:r>
      </w:hyperlink>
      <w:r>
        <w:t xml:space="preserve">. We also must account for</w:t>
      </w:r>
      <w:r>
        <w:t xml:space="preserve"> </w:t>
      </w:r>
      <w:r>
        <w:rPr>
          <w:b/>
          <w:bCs/>
        </w:rPr>
        <w:t xml:space="preserve">KVKK (Turkey)</w:t>
      </w:r>
      <w:r>
        <w:t xml:space="preserve">, ensuring explicit patient consents and an approved transfer mechanism</w:t>
      </w:r>
      <w:hyperlink r:id="rId47">
        <w:r>
          <w:rPr>
            <w:rStyle w:val="Hyperlink"/>
          </w:rPr>
          <w:t xml:space="preserve">[27]</w:t>
        </w:r>
      </w:hyperlink>
      <w:r>
        <w:t xml:space="preserve">. Finally, we should prepare all compliance documentation: Privacy Policy (GDPR/KVKK), Information Security Policy, DPIA, Records of Processing, Incident Response Plan, Business Continuity Plan, and BAAs/DPAs with every vendor (Supabase, Vercel, email provider, AI tools, etc.).</w:t>
      </w:r>
    </w:p>
    <w:p>
      <w:pPr>
        <w:pStyle w:val="BodyText"/>
      </w:pPr>
      <w:r>
        <w:rPr>
          <w:b/>
          <w:bCs/>
        </w:rPr>
        <w:t xml:space="preserve">Critical Quick Wins:</w:t>
      </w:r>
      <w:r>
        <w:br/>
      </w:r>
      <w:r>
        <w:t xml:space="preserve">- Sign and store</w:t>
      </w:r>
      <w:r>
        <w:t xml:space="preserve"> </w:t>
      </w:r>
      <w:r>
        <w:rPr>
          <w:b/>
          <w:bCs/>
        </w:rPr>
        <w:t xml:space="preserve">BAAs/DPAs</w:t>
      </w:r>
      <w:r>
        <w:t xml:space="preserve"> </w:t>
      </w:r>
      <w:r>
        <w:t xml:space="preserve">with Supabase, Vercel, Resend, Pearl, etc., before any PHI is moved. (Supabase and Vercel already offer HIPAA-ready plans</w:t>
      </w:r>
      <w:hyperlink r:id="rId25">
        <w:r>
          <w:rPr>
            <w:rStyle w:val="Hyperlink"/>
          </w:rPr>
          <w:t xml:space="preserve">[5]</w:t>
        </w:r>
      </w:hyperlink>
      <w:hyperlink r:id="rId56">
        <w:r>
          <w:rPr>
            <w:rStyle w:val="Hyperlink"/>
          </w:rPr>
          <w:t xml:space="preserve">[34]</w:t>
        </w:r>
      </w:hyperlink>
      <w:r>
        <w:t xml:space="preserve">.)</w:t>
      </w:r>
      <w:r>
        <w:br/>
      </w:r>
      <w:r>
        <w:t xml:space="preserve">- Deploy</w:t>
      </w:r>
      <w:r>
        <w:t xml:space="preserve"> </w:t>
      </w:r>
      <w:r>
        <w:rPr>
          <w:b/>
          <w:bCs/>
        </w:rPr>
        <w:t xml:space="preserve">encryption at rest and in transit</w:t>
      </w:r>
      <w:r>
        <w:t xml:space="preserve"> </w:t>
      </w:r>
      <w:r>
        <w:t xml:space="preserve">(Supabase and Vercel handle this by default) and enable MFA for all admin logins.</w:t>
      </w:r>
      <w:r>
        <w:br/>
      </w:r>
      <w:r>
        <w:t xml:space="preserve">- Implement or verify Supabase</w:t>
      </w:r>
      <w:r>
        <w:t xml:space="preserve"> </w:t>
      </w:r>
      <w:r>
        <w:rPr>
          <w:b/>
          <w:bCs/>
        </w:rPr>
        <w:t xml:space="preserve">Row-Level Security</w:t>
      </w:r>
      <w:r>
        <w:t xml:space="preserve"> </w:t>
      </w:r>
      <w:r>
        <w:t xml:space="preserve">to isolate each clinic’s data (enforcing minimum necessary).</w:t>
      </w:r>
      <w:r>
        <w:br/>
      </w:r>
      <w:r>
        <w:t xml:space="preserve">- Write/approve an</w:t>
      </w:r>
      <w:r>
        <w:t xml:space="preserve"> </w:t>
      </w:r>
      <w:r>
        <w:rPr>
          <w:b/>
          <w:bCs/>
        </w:rPr>
        <w:t xml:space="preserve">Incident Response Plan</w:t>
      </w:r>
      <w:r>
        <w:t xml:space="preserve"> </w:t>
      </w:r>
      <w:r>
        <w:t xml:space="preserve">and test a data breach scenario.</w:t>
      </w:r>
      <w:r>
        <w:br/>
      </w:r>
      <w:r>
        <w:t xml:space="preserve">- Create and publish a</w:t>
      </w:r>
      <w:r>
        <w:t xml:space="preserve"> </w:t>
      </w:r>
      <w:r>
        <w:rPr>
          <w:b/>
          <w:bCs/>
        </w:rPr>
        <w:t xml:space="preserve">Privacy Notice/Policy</w:t>
      </w:r>
      <w:r>
        <w:t xml:space="preserve"> </w:t>
      </w:r>
      <w:r>
        <w:t xml:space="preserve">covering GDPR, UK GDPR, and KVKK, and a</w:t>
      </w:r>
      <w:r>
        <w:t xml:space="preserve"> </w:t>
      </w:r>
      <w:r>
        <w:rPr>
          <w:b/>
          <w:bCs/>
        </w:rPr>
        <w:t xml:space="preserve">Terms of Service</w:t>
      </w:r>
      <w:r>
        <w:t xml:space="preserve"> </w:t>
      </w:r>
      <w:r>
        <w:t xml:space="preserve">highlighting data rights.</w:t>
      </w:r>
      <w:r>
        <w:br/>
      </w:r>
      <w:r>
        <w:t xml:space="preserve">- Plan for a comprehensive</w:t>
      </w:r>
      <w:r>
        <w:t xml:space="preserve"> </w:t>
      </w:r>
      <w:r>
        <w:rPr>
          <w:b/>
          <w:bCs/>
        </w:rPr>
        <w:t xml:space="preserve">DPIA</w:t>
      </w:r>
      <w:r>
        <w:t xml:space="preserve"> </w:t>
      </w:r>
      <w:r>
        <w:t xml:space="preserve">(document risks &amp; fixes) before launch, and list all processing in a</w:t>
      </w:r>
      <w:r>
        <w:t xml:space="preserve"> </w:t>
      </w:r>
      <w:r>
        <w:rPr>
          <w:b/>
          <w:bCs/>
        </w:rPr>
        <w:t xml:space="preserve">ROPA</w:t>
      </w:r>
      <w:r>
        <w:t xml:space="preserve">.</w:t>
      </w:r>
    </w:p>
    <w:p>
      <w:pPr>
        <w:pStyle w:val="BodyText"/>
      </w:pPr>
      <w:r>
        <w:t xml:space="preserve">By addressing these requirements from day one, we align with HIPAA and GDPR mandates and build customer trust. This “compliance-by-design” approach ensures we can survive an audit at any time: minimal fines, strong security posture, and a demonstrable commitment to patient privacy.</w:t>
      </w:r>
    </w:p>
    <w:p>
      <w:pPr>
        <w:pStyle w:val="BodyText"/>
      </w:pPr>
      <w:r>
        <w:rPr>
          <w:b/>
          <w:bCs/>
        </w:rPr>
        <w:t xml:space="preserve">Sources:</w:t>
      </w:r>
      <w:r>
        <w:t xml:space="preserve"> </w:t>
      </w:r>
      <w:r>
        <w:t xml:space="preserve">HIPAA definitions and requirements</w:t>
      </w:r>
      <w:hyperlink r:id="rId21">
        <w:r>
          <w:rPr>
            <w:rStyle w:val="Hyperlink"/>
          </w:rPr>
          <w:t xml:space="preserve">[1]</w:t>
        </w:r>
      </w:hyperlink>
      <w:hyperlink r:id="rId23">
        <w:r>
          <w:rPr>
            <w:rStyle w:val="Hyperlink"/>
          </w:rPr>
          <w:t xml:space="preserve">[3]</w:t>
        </w:r>
      </w:hyperlink>
      <w:hyperlink r:id="rId32">
        <w:r>
          <w:rPr>
            <w:rStyle w:val="Hyperlink"/>
          </w:rPr>
          <w:t xml:space="preserve">[12]</w:t>
        </w:r>
      </w:hyperlink>
      <w:r>
        <w:t xml:space="preserve">; GDPR text (Articles 5, 15, 17, 20, 46)</w:t>
      </w:r>
      <w:hyperlink r:id="rId38">
        <w:r>
          <w:rPr>
            <w:rStyle w:val="Hyperlink"/>
          </w:rPr>
          <w:t xml:space="preserve">[18]</w:t>
        </w:r>
      </w:hyperlink>
      <w:hyperlink r:id="rId42">
        <w:r>
          <w:rPr>
            <w:rStyle w:val="Hyperlink"/>
          </w:rPr>
          <w:t xml:space="preserve">[22]</w:t>
        </w:r>
      </w:hyperlink>
      <w:hyperlink r:id="rId44">
        <w:r>
          <w:rPr>
            <w:rStyle w:val="Hyperlink"/>
          </w:rPr>
          <w:t xml:space="preserve">[24]</w:t>
        </w:r>
      </w:hyperlink>
      <w:hyperlink r:id="rId43">
        <w:r>
          <w:rPr>
            <w:rStyle w:val="Hyperlink"/>
          </w:rPr>
          <w:t xml:space="preserve">[23]</w:t>
        </w:r>
      </w:hyperlink>
      <w:hyperlink r:id="rId45">
        <w:r>
          <w:rPr>
            <w:rStyle w:val="Hyperlink"/>
          </w:rPr>
          <w:t xml:space="preserve">[25]</w:t>
        </w:r>
      </w:hyperlink>
      <w:r>
        <w:t xml:space="preserve">; KVKK law (Art.9)</w:t>
      </w:r>
      <w:hyperlink r:id="rId47">
        <w:r>
          <w:rPr>
            <w:rStyle w:val="Hyperlink"/>
          </w:rPr>
          <w:t xml:space="preserve">[27]</w:t>
        </w:r>
      </w:hyperlink>
      <w:r>
        <w:t xml:space="preserve">; ISO/SOC2 guidance</w:t>
      </w:r>
      <w:hyperlink r:id="rId50">
        <w:r>
          <w:rPr>
            <w:rStyle w:val="Hyperlink"/>
          </w:rPr>
          <w:t xml:space="preserve">[29]</w:t>
        </w:r>
      </w:hyperlink>
      <w:hyperlink r:id="rId55">
        <w:r>
          <w:rPr>
            <w:rStyle w:val="Hyperlink"/>
          </w:rPr>
          <w:t xml:space="preserve">[33]</w:t>
        </w:r>
      </w:hyperlink>
      <w:r>
        <w:t xml:space="preserve">; industry compliance checklists</w:t>
      </w:r>
      <w:hyperlink r:id="rId22">
        <w:r>
          <w:rPr>
            <w:rStyle w:val="Hyperlink"/>
          </w:rPr>
          <w:t xml:space="preserve">[2]</w:t>
        </w:r>
      </w:hyperlink>
      <w:hyperlink r:id="rId36">
        <w:r>
          <w:rPr>
            <w:rStyle w:val="Hyperlink"/>
          </w:rPr>
          <w:t xml:space="preserve">[16]</w:t>
        </w:r>
      </w:hyperlink>
      <w:r>
        <w:t xml:space="preserve">.</w:t>
      </w:r>
    </w:p>
    <w:bookmarkEnd w:id="57"/>
    <w:bookmarkEnd w:id="58"/>
    <w:bookmarkEnd w:id="59"/>
    <w:p>
      <w:r>
        <w:pict>
          <v:rect style="width:0;height:1.5pt" o:hralign="center" o:hrstd="t" o:hr="t"/>
        </w:pict>
      </w:r>
    </w:p>
    <w:bookmarkStart w:id="84" w:name="citations"/>
    <w:p>
      <w:pPr>
        <w:pStyle w:val="FirstParagraph"/>
      </w:pPr>
      <w:hyperlink r:id="rId21">
        <w:r>
          <w:rPr>
            <w:rStyle w:val="Hyperlink"/>
          </w:rPr>
          <w:t xml:space="preserve">[1]</w:t>
        </w:r>
      </w:hyperlink>
      <w:r>
        <w:t xml:space="preserve"> </w:t>
      </w:r>
      <w:r>
        <w:t xml:space="preserve">Business Associates | HHS.gov</w:t>
      </w:r>
    </w:p>
    <w:p>
      <w:pPr>
        <w:pStyle w:val="BodyText"/>
      </w:pPr>
      <w:hyperlink r:id="rId60">
        <w:r>
          <w:rPr>
            <w:rStyle w:val="Hyperlink"/>
          </w:rPr>
          <w:t xml:space="preserve">https://www.hhs.gov/hipaa/for-professionals/privacy/guidance/business-associates/index.html</w:t>
        </w:r>
      </w:hyperlink>
    </w:p>
    <w:p>
      <w:pPr>
        <w:pStyle w:val="BodyText"/>
      </w:pPr>
      <w:hyperlink r:id="rId22">
        <w:r>
          <w:rPr>
            <w:rStyle w:val="Hyperlink"/>
          </w:rPr>
          <w:t xml:space="preserve">[2]</w:t>
        </w:r>
      </w:hyperlink>
      <w:r>
        <w:t xml:space="preserve"> </w:t>
      </w:r>
      <w:r>
        <w:t xml:space="preserve">45 CFR § 164.308 - Administrative safeguards. | Electronic Code of Federal Regulations (e-CFR) | US Law | LII / Legal Information Institute</w:t>
      </w:r>
    </w:p>
    <w:p>
      <w:pPr>
        <w:pStyle w:val="BodyText"/>
      </w:pPr>
      <w:hyperlink r:id="rId61">
        <w:r>
          <w:rPr>
            <w:rStyle w:val="Hyperlink"/>
          </w:rPr>
          <w:t xml:space="preserve">https://www.law.cornell.edu/cfr/text/45/164.308</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 </w:t>
      </w:r>
      <w:r>
        <w:t xml:space="preserve">eCFR :: 45 CFR 164.312 -- Technical safeguards.</w:t>
      </w:r>
      <w:r>
        <w:t xml:space="preserve"> </w:t>
      </w:r>
    </w:p>
    <w:p>
      <w:pPr>
        <w:pStyle w:val="BodyText"/>
      </w:pPr>
      <w:hyperlink r:id="rId62">
        <w:r>
          <w:rPr>
            <w:rStyle w:val="Hyperlink"/>
          </w:rPr>
          <w:t xml:space="preserve">https://www.ecfr.gov/current/title-45/subtitle-A/subchapter-C/part-164/subpart-C/section-164.312</w:t>
        </w:r>
      </w:hyperlink>
    </w:p>
    <w:p>
      <w:pPr>
        <w:pStyle w:val="BodyText"/>
      </w:pPr>
      <w:hyperlink r:id="rId25">
        <w:r>
          <w:rPr>
            <w:rStyle w:val="Hyperlink"/>
          </w:rPr>
          <w:t xml:space="preserve">[5]</w:t>
        </w:r>
      </w:hyperlink>
      <w:r>
        <w:t xml:space="preserve"> </w:t>
      </w:r>
      <w:r>
        <w:t xml:space="preserve">HIPAA Compliance and Supabase | Supabase Docs</w:t>
      </w:r>
    </w:p>
    <w:p>
      <w:pPr>
        <w:pStyle w:val="BodyText"/>
      </w:pPr>
      <w:hyperlink r:id="rId63">
        <w:r>
          <w:rPr>
            <w:rStyle w:val="Hyperlink"/>
          </w:rPr>
          <w:t xml:space="preserve">https://supabase.com/docs/guides/security/hipaa-compliance</w:t>
        </w:r>
      </w:hyperlink>
    </w:p>
    <w:p>
      <w:pPr>
        <w:pStyle w:val="BodyText"/>
      </w:pPr>
      <w:hyperlink r:id="rId26">
        <w:r>
          <w:rPr>
            <w:rStyle w:val="Hyperlink"/>
          </w:rPr>
          <w:t xml:space="preserve">[6]</w:t>
        </w:r>
      </w:hyperlink>
      <w:r>
        <w:t xml:space="preserve"> </w:t>
      </w:r>
      <w:r>
        <w:t xml:space="preserve">HIPAA Retention Requirements - 2026 Update</w:t>
      </w:r>
    </w:p>
    <w:p>
      <w:pPr>
        <w:pStyle w:val="BodyText"/>
      </w:pPr>
      <w:hyperlink r:id="rId64">
        <w:r>
          <w:rPr>
            <w:rStyle w:val="Hyperlink"/>
          </w:rPr>
          <w:t xml:space="preserve">https://www.hipaajournal.com/hipaa-retention-requirements/</w:t>
        </w:r>
      </w:hyperlink>
    </w:p>
    <w:p>
      <w:pPr>
        <w:pStyle w:val="BodyText"/>
      </w:pPr>
      <w:hyperlink r:id="rId27">
        <w:r>
          <w:rPr>
            <w:rStyle w:val="Hyperlink"/>
          </w:rPr>
          <w:t xml:space="preserve">[7]</w:t>
        </w:r>
      </w:hyperlink>
      <w:r>
        <w:t xml:space="preserve"> </w:t>
      </w:r>
      <w:r>
        <w:t xml:space="preserve">hhs.gov</w:t>
      </w:r>
    </w:p>
    <w:p>
      <w:pPr>
        <w:pStyle w:val="BodyText"/>
      </w:pPr>
      <w:hyperlink r:id="rId65">
        <w:r>
          <w:rPr>
            <w:rStyle w:val="Hyperlink"/>
          </w:rPr>
          <w:t xml:space="preserve">https://www.hhs.gov/sites/default/files/ocr/privacy/hipaa/understanding/coveredentities/minimumnecessary.pdf</w:t>
        </w:r>
      </w:hyperlink>
    </w:p>
    <w:p>
      <w:pPr>
        <w:pStyle w:val="BodyText"/>
      </w:pPr>
      <w:hyperlink r:id="rId28">
        <w:r>
          <w:rPr>
            <w:rStyle w:val="Hyperlink"/>
          </w:rPr>
          <w:t xml:space="preserve">[8]</w:t>
        </w:r>
      </w:hyperlink>
      <w:r>
        <w:t xml:space="preserve"> </w:t>
      </w:r>
      <w:r>
        <w:t xml:space="preserve">Does the HIPAA Privacy Rule require a business associate to create a notice of privacy practices? | HHS.gov</w:t>
      </w:r>
    </w:p>
    <w:p>
      <w:pPr>
        <w:pStyle w:val="BodyText"/>
      </w:pPr>
      <w:hyperlink r:id="rId66">
        <w:r>
          <w:rPr>
            <w:rStyle w:val="Hyperlink"/>
          </w:rPr>
          <w:t xml:space="preserve">https://www.hhs.gov/hipaa/for-professionals/faq/390/does-hipaa-require-a-business-associate-to-create-a-notice-of-privacy-practices/index.html</w:t>
        </w:r>
      </w:hyperlink>
    </w:p>
    <w:p>
      <w:pPr>
        <w:pStyle w:val="BodyText"/>
      </w:pPr>
      <w:hyperlink r:id="rId29">
        <w:r>
          <w:rPr>
            <w:rStyle w:val="Hyperlink"/>
          </w:rPr>
          <w:t xml:space="preserve">[9]</w:t>
        </w:r>
      </w:hyperlink>
      <w:r>
        <w:t xml:space="preserve"> </w:t>
      </w:r>
      <w:r>
        <w:t xml:space="preserve">Individuals’ Right under HIPAA to Access their Health Information 45 CFR § 164.524 | HHS.gov</w:t>
      </w:r>
    </w:p>
    <w:p>
      <w:pPr>
        <w:pStyle w:val="BodyText"/>
      </w:pPr>
      <w:hyperlink r:id="rId67">
        <w:r>
          <w:rPr>
            <w:rStyle w:val="Hyperlink"/>
          </w:rPr>
          <w:t xml:space="preserve">https://www.hhs.gov/hipaa/for-professionals/privacy/guidance/access/index.html</w:t>
        </w:r>
      </w:hyperlink>
    </w:p>
    <w:p>
      <w:pPr>
        <w:pStyle w:val="BodyText"/>
      </w:pPr>
      <w:hyperlink r:id="rId30">
        <w:r>
          <w:rPr>
            <w:rStyle w:val="Hyperlink"/>
          </w:rPr>
          <w:t xml:space="preserve">[10]</w:t>
        </w:r>
      </w:hyperlink>
      <w:r>
        <w:t xml:space="preserve"> </w:t>
      </w:r>
      <w:r>
        <w:t xml:space="preserve">HIPAA Disclosure Accounting</w:t>
      </w:r>
    </w:p>
    <w:p>
      <w:pPr>
        <w:pStyle w:val="BodyText"/>
      </w:pPr>
      <w:hyperlink r:id="rId68">
        <w:r>
          <w:rPr>
            <w:rStyle w:val="Hyperlink"/>
          </w:rPr>
          <w:t xml:space="preserve">https://www.hipaajournal.com/hipaa-disclosure-accounting/</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r>
        <w:t xml:space="preserve">Breach Notification Rule | HHS.gov</w:t>
      </w:r>
    </w:p>
    <w:p>
      <w:pPr>
        <w:pStyle w:val="BodyText"/>
      </w:pPr>
      <w:hyperlink r:id="rId69">
        <w:r>
          <w:rPr>
            <w:rStyle w:val="Hyperlink"/>
          </w:rPr>
          <w:t xml:space="preserve">https://www.hhs.gov/hipaa/for-professionals/breach-notification/index.html</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r>
        <w:t xml:space="preserve">HHS’ Office for Civil Rights Settles HIPAA Investigation of Cadia Healthcare Facilities for Disclosure of Patients’ Protected Health Information | HHS.gov</w:t>
      </w:r>
    </w:p>
    <w:p>
      <w:pPr>
        <w:pStyle w:val="BodyText"/>
      </w:pPr>
      <w:hyperlink r:id="rId70">
        <w:r>
          <w:rPr>
            <w:rStyle w:val="Hyperlink"/>
          </w:rPr>
          <w:t xml:space="preserve">https://www.hhs.gov/press-room/ocr-settles-hipaa-with-cadia-healthcare-facilities.html</w:t>
        </w:r>
      </w:hyperlink>
    </w:p>
    <w:p>
      <w:pPr>
        <w:pStyle w:val="BodyText"/>
      </w:pPr>
      <w:hyperlink r:id="rId36">
        <w:r>
          <w:rPr>
            <w:rStyle w:val="Hyperlink"/>
          </w:rPr>
          <w:t xml:space="preserve">[16]</w:t>
        </w:r>
      </w:hyperlink>
      <w:r>
        <w:t xml:space="preserve"> </w:t>
      </w:r>
      <w:r>
        <w:t xml:space="preserve">Resolution Agreements | HHS.gov</w:t>
      </w:r>
    </w:p>
    <w:p>
      <w:pPr>
        <w:pStyle w:val="BodyText"/>
      </w:pPr>
      <w:hyperlink r:id="rId71">
        <w:r>
          <w:rPr>
            <w:rStyle w:val="Hyperlink"/>
          </w:rPr>
          <w:t xml:space="preserve">https://www.hhs.gov/hipaa/for-professionals/compliance-enforcement/agreements/index.html</w:t>
        </w:r>
      </w:hyperlink>
    </w:p>
    <w:p>
      <w:pPr>
        <w:pStyle w:val="BodyText"/>
      </w:pPr>
      <w:hyperlink r:id="rId37">
        <w:r>
          <w:rPr>
            <w:rStyle w:val="Hyperlink"/>
          </w:rPr>
          <w:t xml:space="preserve">[17]</w:t>
        </w:r>
      </w:hyperlink>
      <w:r>
        <w:t xml:space="preserve"> </w:t>
      </w:r>
      <w:r>
        <w:t xml:space="preserve">Data protection adequacy for non-EU countries</w:t>
      </w:r>
    </w:p>
    <w:p>
      <w:pPr>
        <w:pStyle w:val="BodyText"/>
      </w:pPr>
      <w:hyperlink r:id="rId72">
        <w:r>
          <w:rPr>
            <w:rStyle w:val="Hyperlink"/>
          </w:rPr>
          <w:t xml:space="preserve">https://commission.europa.eu/law/law-topic/data-protection/international-dimension-data-protection/adequacy-decisions_en</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r>
        <w:t xml:space="preserve">Art. 5 GDPR – Principles relating to processing of personal data - General Data Protection Regulation (GDPR)</w:t>
      </w:r>
    </w:p>
    <w:p>
      <w:pPr>
        <w:pStyle w:val="BodyText"/>
      </w:pPr>
      <w:hyperlink r:id="rId73">
        <w:r>
          <w:rPr>
            <w:rStyle w:val="Hyperlink"/>
          </w:rPr>
          <w:t xml:space="preserve">https://gdpr-info.eu/art-5-gdpr/</w:t>
        </w:r>
      </w:hyperlink>
    </w:p>
    <w:p>
      <w:pPr>
        <w:pStyle w:val="BodyText"/>
      </w:pPr>
      <w:hyperlink r:id="rId42">
        <w:r>
          <w:rPr>
            <w:rStyle w:val="Hyperlink"/>
          </w:rPr>
          <w:t xml:space="preserve">[22]</w:t>
        </w:r>
      </w:hyperlink>
      <w:r>
        <w:t xml:space="preserve"> </w:t>
      </w:r>
      <w:r>
        <w:t xml:space="preserve">Art. 15 GDPR – Right of access by the data subject - General Data Protection Regulation (GDPR)</w:t>
      </w:r>
    </w:p>
    <w:p>
      <w:pPr>
        <w:pStyle w:val="BodyText"/>
      </w:pPr>
      <w:hyperlink r:id="rId74">
        <w:r>
          <w:rPr>
            <w:rStyle w:val="Hyperlink"/>
          </w:rPr>
          <w:t xml:space="preserve">https://gdpr-info.eu/art-15-gdpr/</w:t>
        </w:r>
      </w:hyperlink>
    </w:p>
    <w:p>
      <w:pPr>
        <w:pStyle w:val="BodyText"/>
      </w:pPr>
      <w:hyperlink r:id="rId43">
        <w:r>
          <w:rPr>
            <w:rStyle w:val="Hyperlink"/>
          </w:rPr>
          <w:t xml:space="preserve">[23]</w:t>
        </w:r>
      </w:hyperlink>
      <w:r>
        <w:t xml:space="preserve"> </w:t>
      </w:r>
      <w:r>
        <w:t xml:space="preserve">Art. 20 GDPR – Right to data portability - General Data Protection Regulation (GDPR)</w:t>
      </w:r>
    </w:p>
    <w:p>
      <w:pPr>
        <w:pStyle w:val="BodyText"/>
      </w:pPr>
      <w:hyperlink r:id="rId75">
        <w:r>
          <w:rPr>
            <w:rStyle w:val="Hyperlink"/>
          </w:rPr>
          <w:t xml:space="preserve">https://gdpr-info.eu/art-20-gdpr/</w:t>
        </w:r>
      </w:hyperlink>
    </w:p>
    <w:p>
      <w:pPr>
        <w:pStyle w:val="BodyText"/>
      </w:pPr>
      <w:hyperlink r:id="rId44">
        <w:r>
          <w:rPr>
            <w:rStyle w:val="Hyperlink"/>
          </w:rPr>
          <w:t xml:space="preserve">[24]</w:t>
        </w:r>
      </w:hyperlink>
      <w:r>
        <w:t xml:space="preserve"> </w:t>
      </w:r>
      <w:r>
        <w:t xml:space="preserve">Art. 17 GDPR – Right to erasure (‘right to be forgotten’) - General Data Protection Regulation (GDPR)</w:t>
      </w:r>
    </w:p>
    <w:p>
      <w:pPr>
        <w:pStyle w:val="BodyText"/>
      </w:pPr>
      <w:hyperlink r:id="rId76">
        <w:r>
          <w:rPr>
            <w:rStyle w:val="Hyperlink"/>
          </w:rPr>
          <w:t xml:space="preserve">https://gdpr-info.eu/art-17-gdpr/</w:t>
        </w:r>
      </w:hyperlink>
    </w:p>
    <w:p>
      <w:pPr>
        <w:pStyle w:val="BodyText"/>
      </w:pPr>
      <w:hyperlink r:id="rId45">
        <w:r>
          <w:rPr>
            <w:rStyle w:val="Hyperlink"/>
          </w:rPr>
          <w:t xml:space="preserve">[25]</w:t>
        </w:r>
      </w:hyperlink>
      <w:r>
        <w:t xml:space="preserve"> </w:t>
      </w:r>
      <w:hyperlink r:id="rId46">
        <w:r>
          <w:rPr>
            <w:rStyle w:val="Hyperlink"/>
          </w:rPr>
          <w:t xml:space="preserve">[26]</w:t>
        </w:r>
      </w:hyperlink>
      <w:r>
        <w:t xml:space="preserve"> </w:t>
      </w:r>
      <w:r>
        <w:t xml:space="preserve">Article 46 EU General Data Protection Regulation (EU-GDPR). Privacy/Privazy according to plan.</w:t>
      </w:r>
    </w:p>
    <w:p>
      <w:pPr>
        <w:pStyle w:val="BodyText"/>
      </w:pPr>
      <w:hyperlink r:id="rId77">
        <w:r>
          <w:rPr>
            <w:rStyle w:val="Hyperlink"/>
          </w:rPr>
          <w:t xml:space="preserve">https://www.privacy-regulation.eu/en/article-46-transfers-subject-to-appropriate-safeguards-GDPR.htm</w:t>
        </w:r>
      </w:hyperlink>
    </w:p>
    <w:p>
      <w:pPr>
        <w:pStyle w:val="BodyText"/>
      </w:pPr>
      <w:hyperlink r:id="rId47">
        <w:r>
          <w:rPr>
            <w:rStyle w:val="Hyperlink"/>
          </w:rPr>
          <w:t xml:space="preserve">[27]</w:t>
        </w:r>
      </w:hyperlink>
      <w:r>
        <w:t xml:space="preserve"> </w:t>
      </w:r>
      <w:r>
        <w:t xml:space="preserve">İletişim | Kişisel Verileri Koruma Kurumu</w:t>
      </w:r>
    </w:p>
    <w:p>
      <w:pPr>
        <w:pStyle w:val="BodyText"/>
      </w:pPr>
      <w:hyperlink r:id="rId78">
        <w:r>
          <w:rPr>
            <w:rStyle w:val="Hyperlink"/>
          </w:rPr>
          <w:t xml:space="preserve">https://www.kvkk.gov.tr/Icerik/6642/Transfer-of-Personal-Data-Abroad</w:t>
        </w:r>
      </w:hyperlink>
    </w:p>
    <w:p>
      <w:pPr>
        <w:pStyle w:val="BodyText"/>
      </w:pPr>
      <w:hyperlink r:id="rId48">
        <w:r>
          <w:rPr>
            <w:rStyle w:val="Hyperlink"/>
          </w:rPr>
          <w:t xml:space="preserve">[28]</w:t>
        </w:r>
      </w:hyperlink>
      <w:r>
        <w:t xml:space="preserve"> </w:t>
      </w:r>
      <w:r>
        <w:t xml:space="preserve">When do we need to do a DPIA? | ICO</w:t>
      </w:r>
    </w:p>
    <w:p>
      <w:pPr>
        <w:pStyle w:val="BodyText"/>
      </w:pPr>
      <w:hyperlink r:id="rId79">
        <w:r>
          <w:rPr>
            <w:rStyle w:val="Hyperlink"/>
          </w:rPr>
          <w:t xml:space="preserve">https://ico.org.uk/for-organisations/uk-gdpr-guidance-and-resources/accountability-and-governance/data-protection-impact-assessments-dpias/when-do-we-need-to-do-a-dpia/</w:t>
        </w:r>
      </w:hyperlink>
    </w:p>
    <w:p>
      <w:pPr>
        <w:pStyle w:val="BodyText"/>
      </w:pPr>
      <w:hyperlink r:id="rId50">
        <w:r>
          <w:rPr>
            <w:rStyle w:val="Hyperlink"/>
          </w:rPr>
          <w:t xml:space="preserve">[29]</w:t>
        </w:r>
      </w:hyperlink>
      <w:r>
        <w:t xml:space="preserve"> </w:t>
      </w:r>
      <w:r>
        <w:t xml:space="preserve">ISO 27001 Controls Explained: A Guide to Annex A (Updated 2024) | Secureframe</w:t>
      </w:r>
    </w:p>
    <w:p>
      <w:pPr>
        <w:pStyle w:val="BodyText"/>
      </w:pPr>
      <w:hyperlink r:id="rId80">
        <w:r>
          <w:rPr>
            <w:rStyle w:val="Hyperlink"/>
          </w:rPr>
          <w:t xml:space="preserve">https://secureframe.com/hub/iso-27001/controls</w:t>
        </w:r>
      </w:hyperlink>
    </w:p>
    <w:p>
      <w:pPr>
        <w:pStyle w:val="BodyText"/>
      </w:pPr>
      <w:hyperlink r:id="rId51">
        <w:r>
          <w:rPr>
            <w:rStyle w:val="Hyperlink"/>
          </w:rPr>
          <w:t xml:space="preserve">[30]</w:t>
        </w:r>
      </w:hyperlink>
      <w:r>
        <w:t xml:space="preserve"> </w:t>
      </w:r>
      <w:hyperlink r:id="rId52">
        <w:r>
          <w:rPr>
            <w:rStyle w:val="Hyperlink"/>
          </w:rPr>
          <w:t xml:space="preserve">[31]</w:t>
        </w:r>
      </w:hyperlink>
      <w:r>
        <w:t xml:space="preserve"> </w:t>
      </w:r>
      <w:hyperlink r:id="rId55">
        <w:r>
          <w:rPr>
            <w:rStyle w:val="Hyperlink"/>
          </w:rPr>
          <w:t xml:space="preserve">[33]</w:t>
        </w:r>
      </w:hyperlink>
      <w:r>
        <w:t xml:space="preserve"> </w:t>
      </w:r>
      <w:r>
        <w:t xml:space="preserve">SOC 2 vs. ISO 27001: differences, similarities and standards mapping</w:t>
      </w:r>
    </w:p>
    <w:p>
      <w:pPr>
        <w:pStyle w:val="BodyText"/>
      </w:pPr>
      <w:hyperlink r:id="rId81">
        <w:r>
          <w:rPr>
            <w:rStyle w:val="Hyperlink"/>
          </w:rPr>
          <w:t xml:space="preserve">https://www.strikegraph.com/blog/difference-between-iso-27001-and-soc-2</w:t>
        </w:r>
      </w:hyperlink>
    </w:p>
    <w:p>
      <w:pPr>
        <w:pStyle w:val="BodyText"/>
      </w:pPr>
      <w:hyperlink r:id="rId54">
        <w:r>
          <w:rPr>
            <w:rStyle w:val="Hyperlink"/>
          </w:rPr>
          <w:t xml:space="preserve">[32]</w:t>
        </w:r>
      </w:hyperlink>
      <w:r>
        <w:t xml:space="preserve"> </w:t>
      </w:r>
      <w:r>
        <w:t xml:space="preserve">Turkey KVKK and the GDPR - TermsFeed</w:t>
      </w:r>
    </w:p>
    <w:p>
      <w:pPr>
        <w:pStyle w:val="BodyText"/>
      </w:pPr>
      <w:hyperlink r:id="rId82">
        <w:r>
          <w:rPr>
            <w:rStyle w:val="Hyperlink"/>
          </w:rPr>
          <w:t xml:space="preserve">https://www.termsfeed.com/blog/turkey-kvkk-gdpr/</w:t>
        </w:r>
      </w:hyperlink>
    </w:p>
    <w:p>
      <w:pPr>
        <w:pStyle w:val="BodyText"/>
      </w:pPr>
      <w:hyperlink r:id="rId56">
        <w:r>
          <w:rPr>
            <w:rStyle w:val="Hyperlink"/>
          </w:rPr>
          <w:t xml:space="preserve">[34]</w:t>
        </w:r>
      </w:hyperlink>
      <w:r>
        <w:t xml:space="preserve"> </w:t>
      </w:r>
      <w:r>
        <w:t xml:space="preserve">HIPAA Compliance on Vercel | Vercel Knowledge Base</w:t>
      </w:r>
    </w:p>
    <w:p>
      <w:pPr>
        <w:pStyle w:val="BodyText"/>
      </w:pPr>
      <w:hyperlink r:id="rId83">
        <w:r>
          <w:rPr>
            <w:rStyle w:val="Hyperlink"/>
          </w:rPr>
          <w:t xml:space="preserve">https://vercel.com/kb/guide/hipaa-compliance-guide-vercel</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commission.europa.eu/law/law-topic/data-protection/international-dimension-data-protection/adequacy-decisions_en" TargetMode="External" /><Relationship Type="http://schemas.openxmlformats.org/officeDocument/2006/relationships/hyperlink" Id="rId37" Target="https://commission.europa.eu/law/law-topic/data-protection/international-dimension-data-protection/adequacy-decisions_en#:~:text=,Organisation%20as%20providing%20adequate%20protection" TargetMode="External" /><Relationship Type="http://schemas.openxmlformats.org/officeDocument/2006/relationships/hyperlink" Id="rId74" Target="https://gdpr-info.eu/art-15-gdpr/" TargetMode="External" /><Relationship Type="http://schemas.openxmlformats.org/officeDocument/2006/relationships/hyperlink" Id="rId42" Target="https://gdpr-info.eu/art-15-gdpr/#:~:text=1,of%20processing%20of%20personal%20data" TargetMode="External" /><Relationship Type="http://schemas.openxmlformats.org/officeDocument/2006/relationships/hyperlink" Id="rId76" Target="https://gdpr-info.eu/art-17-gdpr/" TargetMode="External" /><Relationship Type="http://schemas.openxmlformats.org/officeDocument/2006/relationships/hyperlink" Id="rId44" Target="https://gdpr-info.eu/art-17-gdpr/#:~:text=1,legal%20ground%20for%20the%20processing" TargetMode="External" /><Relationship Type="http://schemas.openxmlformats.org/officeDocument/2006/relationships/hyperlink" Id="rId75" Target="https://gdpr-info.eu/art-20-gdpr/" TargetMode="External" /><Relationship Type="http://schemas.openxmlformats.org/officeDocument/2006/relationships/hyperlink" Id="rId43" Target="https://gdpr-info.eu/art-20-gdpr/#:~:text=1,carried%20out%20by%20automated%20means" TargetMode="External" /><Relationship Type="http://schemas.openxmlformats.org/officeDocument/2006/relationships/hyperlink" Id="rId73" Target="https://gdpr-info.eu/art-5-gdpr/" TargetMode="External" /><Relationship Type="http://schemas.openxmlformats.org/officeDocument/2006/relationships/hyperlink" Id="rId38" Target="https://gdpr-info.eu/art-5-gdpr/#:~:text=1,necessary%20in%20relation%20to%20the" TargetMode="External" /><Relationship Type="http://schemas.openxmlformats.org/officeDocument/2006/relationships/hyperlink" Id="rId39" Target="https://gdpr-info.eu/art-5-gdpr/#:~:text=3,archiving%20purposes%20in%20the%20public" TargetMode="External" /><Relationship Type="http://schemas.openxmlformats.org/officeDocument/2006/relationships/hyperlink" Id="rId41" Target="https://gdpr-info.eu/art-5-gdpr/#:~:text=data%2C%20including%20protection%20against%20unauthorised,%E2%80%98accountability%E2%80%99" TargetMode="External" /><Relationship Type="http://schemas.openxmlformats.org/officeDocument/2006/relationships/hyperlink" Id="rId40" Target="https://gdpr-info.eu/art-5-gdpr/#:~:text=delay%20%28%E2%80%98accuracy%E2%80%99%29%3B%205,archiving%20purposes%20in%20the%20public" TargetMode="External" /><Relationship Type="http://schemas.openxmlformats.org/officeDocument/2006/relationships/hyperlink" Id="rId79" Target="https://ico.org.uk/for-organisations/uk-gdpr-guidance-and-resources/accountability-and-governance/data-protection-impact-assessments-dpias/when-do-we-need-to-do-a-dpia/" TargetMode="External" /><Relationship Type="http://schemas.openxmlformats.org/officeDocument/2006/relationships/hyperlink" Id="rId48" Target="https://ico.org.uk/for-organisations/uk-gdpr-guidance-and-resources/accountability-and-governance/data-protection-impact-assessments-dpias/when-do-we-need-to-do-a-dpia/#:~:text=2,sensitive%20data" TargetMode="External" /><Relationship Type="http://schemas.openxmlformats.org/officeDocument/2006/relationships/hyperlink" Id="rId80" Target="https://secureframe.com/hub/iso-27001/controls" TargetMode="External" /><Relationship Type="http://schemas.openxmlformats.org/officeDocument/2006/relationships/hyperlink" Id="rId50" Target="https://secureframe.com/hub/iso-27001/controls#:~:text=Information%20security%20controls%20are%20the,which%20ones%20they%20should%20use" TargetMode="External" /><Relationship Type="http://schemas.openxmlformats.org/officeDocument/2006/relationships/hyperlink" Id="rId63" Target="https://supabase.com/docs/guides/security/hipaa-compliance" TargetMode="External" /><Relationship Type="http://schemas.openxmlformats.org/officeDocument/2006/relationships/hyperlink" Id="rId25" Target="https://supabase.com/docs/guides/security/hipaa-compliance#:~:text=,Hardening%20the%20Data%20API" TargetMode="External" /><Relationship Type="http://schemas.openxmlformats.org/officeDocument/2006/relationships/hyperlink" Id="rId83" Target="https://vercel.com/kb/guide/hipaa-compliance-guide-vercel" TargetMode="External" /><Relationship Type="http://schemas.openxmlformats.org/officeDocument/2006/relationships/hyperlink" Id="rId56" Target="https://vercel.com/kb/guide/hipaa-compliance-guide-vercel#:~:text=Frequently%20Asked%20Questions" TargetMode="External" /><Relationship Type="http://schemas.openxmlformats.org/officeDocument/2006/relationships/hyperlink" Id="rId62" Target="https://www.ecfr.gov/current/title-45/subtitle-A/subchapter-C/part-164/subpart-C/section-164.312" TargetMode="External" /><Relationship Type="http://schemas.openxmlformats.org/officeDocument/2006/relationships/hyperlink" Id="rId24" Target="https://www.ecfr.gov/current/title-45/subtitle-A/subchapter-C/part-164/subpart-C/section-164.312#:~:text=%28b%29%20Standard%3A%20Audit%20controls,use%20electronic%20protected%20health%20information" TargetMode="External" /><Relationship Type="http://schemas.openxmlformats.org/officeDocument/2006/relationships/hyperlink" Id="rId23" Target="https://www.ecfr.gov/current/title-45/subtitle-A/subchapter-C/part-164/subpart-C/section-164.312#:~:text=%28i%29%20Unique%20user%20identification%20%28Required%29,identifying%20and%20tracking%20user%20identity" TargetMode="External" /><Relationship Type="http://schemas.openxmlformats.org/officeDocument/2006/relationships/hyperlink" Id="rId69" Target="https://www.hhs.gov/hipaa/for-professionals/breach-notification/index.html" TargetMode="External" /><Relationship Type="http://schemas.openxmlformats.org/officeDocument/2006/relationships/hyperlink" Id="rId33" Target="https://www.hhs.gov/hipaa/for-professionals/breach-notification/index.html#:~:text=If%20a%20breach%20of%20unsecured,its%20notification%20to%20affected%20individuals" TargetMode="External" /><Relationship Type="http://schemas.openxmlformats.org/officeDocument/2006/relationships/hyperlink" Id="rId32" Target="https://www.hhs.gov/hipaa/for-professionals/breach-notification/index.html#:~:text=These%20individual%20notifications%20must%20be,or%20business%20associate%2C%20as%20applicable" TargetMode="External" /><Relationship Type="http://schemas.openxmlformats.org/officeDocument/2006/relationships/hyperlink" Id="rId31" Target="https://www.hhs.gov/hipaa/for-professionals/breach-notification/index.html#:~:text=form%20,which%20the%20breaches%20are%20discovered" TargetMode="External" /><Relationship Type="http://schemas.openxmlformats.org/officeDocument/2006/relationships/hyperlink" Id="rId71" Target="https://www.hhs.gov/hipaa/for-professionals/compliance-enforcement/agreements/index.html" TargetMode="External" /><Relationship Type="http://schemas.openxmlformats.org/officeDocument/2006/relationships/hyperlink" Id="rId36" Target="https://www.hhs.gov/hipaa/for-professionals/compliance-enforcement/agreements/index.html#:~:text=,December%203%2C%202024" TargetMode="External" /><Relationship Type="http://schemas.openxmlformats.org/officeDocument/2006/relationships/hyperlink" Id="rId66" Target="https://www.hhs.gov/hipaa/for-professionals/faq/390/does-hipaa-require-a-business-associate-to-create-a-notice-of-privacy-practices/index.html" TargetMode="External" /><Relationship Type="http://schemas.openxmlformats.org/officeDocument/2006/relationships/hyperlink" Id="rId28" Target="https://www.hhs.gov/hipaa/for-professionals/faq/390/does-hipaa-require-a-business-associate-to-create-a-notice-of-privacy-practices/index.html#:~:text=No,distribute%20its%20notice%20to%20individuals" TargetMode="External" /><Relationship Type="http://schemas.openxmlformats.org/officeDocument/2006/relationships/hyperlink" Id="rId67" Target="https://www.hhs.gov/hipaa/for-professionals/privacy/guidance/access/index.html" TargetMode="External" /><Relationship Type="http://schemas.openxmlformats.org/officeDocument/2006/relationships/hyperlink" Id="rId29" Target="https://www.hhs.gov/hipaa/for-professionals/privacy/guidance/access/index.html#:~:text=explained%20below,to%20provide%20individuals%20with%20almost" TargetMode="External" /><Relationship Type="http://schemas.openxmlformats.org/officeDocument/2006/relationships/hyperlink" Id="rId60" Target="https://www.hhs.gov/hipaa/for-professionals/privacy/guidance/business-associates/index.html" TargetMode="External" /><Relationship Type="http://schemas.openxmlformats.org/officeDocument/2006/relationships/hyperlink" Id="rId21" Target="https://www.hhs.gov/hipaa/for-professionals/privacy/guidance/business-associates/index.html#:~:text=What%20Is%20a%20%E2%80%9CBusiness%20Associate%3F%E2%80%9D,involve%20the%20use%20or%20disclosure" TargetMode="External" /><Relationship Type="http://schemas.openxmlformats.org/officeDocument/2006/relationships/hyperlink" Id="rId70" Target="https://www.hhs.gov/press-room/ocr-settles-hipaa-with-cadia-healthcare-facilities.html" TargetMode="External" /><Relationship Type="http://schemas.openxmlformats.org/officeDocument/2006/relationships/hyperlink" Id="rId34" Target="https://www.hhs.gov/press-room/ocr-settles-hipaa-with-cadia-healthcare-facilities.html#:~:text=The%20settlement%20resolves%20an%20investigation,%E2%80%9Csuccess%20story%E2%80%9D%20program%20without%20first" TargetMode="External" /><Relationship Type="http://schemas.openxmlformats.org/officeDocument/2006/relationships/hyperlink" Id="rId35" Target="https://www.hhs.gov/press-room/ocr-settles-hipaa-with-cadia-healthcare-facilities.html#:~:text=Under%20the%20terms%20of%20the,and%20Breach%20Notification%20Rules%2C%20including" TargetMode="External" /><Relationship Type="http://schemas.openxmlformats.org/officeDocument/2006/relationships/hyperlink" Id="rId65" Target="https://www.hhs.gov/sites/default/files/ocr/privacy/hipaa/understanding/coveredentities/minimumnecessary.pdf" TargetMode="External" /><Relationship Type="http://schemas.openxmlformats.org/officeDocument/2006/relationships/hyperlink" Id="rId27" Target="https://www.hhs.gov/sites/default/files/ocr/privacy/hipaa/understanding/coveredentities/minimumnecessary.pdf#:~:text=How%20the%20Rule%20Works%20The,necessary%20standard%20does%20not%20apply" TargetMode="External" /><Relationship Type="http://schemas.openxmlformats.org/officeDocument/2006/relationships/hyperlink" Id="rId68" Target="https://www.hipaajournal.com/hipaa-disclosure-accounting/" TargetMode="External" /><Relationship Type="http://schemas.openxmlformats.org/officeDocument/2006/relationships/hyperlink" Id="rId30" Target="https://www.hipaajournal.com/hipaa-disclosure-accounting/#:~:text=,in%20a%20limited%20data%20set" TargetMode="External" /><Relationship Type="http://schemas.openxmlformats.org/officeDocument/2006/relationships/hyperlink" Id="rId64" Target="https://www.hipaajournal.com/hipaa-retention-requirements/" TargetMode="External" /><Relationship Type="http://schemas.openxmlformats.org/officeDocument/2006/relationships/hyperlink" Id="rId26" Target="https://www.hipaajournal.com/hipaa-retention-requirements/#:~:text=Both%20standards%20also%20stipulate%20that,shorter%20periods%20of%20document%20retention" TargetMode="External" /><Relationship Type="http://schemas.openxmlformats.org/officeDocument/2006/relationships/hyperlink" Id="rId78" Target="https://www.kvkk.gov.tr/Icerik/6642/Transfer-of-Personal-Data-Abroad" TargetMode="External" /><Relationship Type="http://schemas.openxmlformats.org/officeDocument/2006/relationships/hyperlink" Id="rId47" Target="https://www.kvkk.gov.tr/Icerik/6642/Transfer-of-Personal-Data-Abroad#:~:text=Under%20Article%209%20of%20the,the%20following%20conditions%20is%20met" TargetMode="External" /><Relationship Type="http://schemas.openxmlformats.org/officeDocument/2006/relationships/hyperlink" Id="rId61" Target="https://www.law.cornell.edu/cfr/text/45/164.308" TargetMode="External" /><Relationship Type="http://schemas.openxmlformats.org/officeDocument/2006/relationships/hyperlink" Id="rId22" Target="https://www.law.cornell.edu/cfr/text/45/164.308#:~:text=%28A%29%20Risk%20analysis%20%28Required%29,entity%20%20or%20%2052" TargetMode="External" /><Relationship Type="http://schemas.openxmlformats.org/officeDocument/2006/relationships/hyperlink" Id="rId77" Target="https://www.privacy-regulation.eu/en/article-46-transfers-subject-to-appropriate-safeguards-GDPR.htm" TargetMode="External" /><Relationship Type="http://schemas.openxmlformats.org/officeDocument/2006/relationships/hyperlink" Id="rId45" Target="https://www.privacy-regulation.eu/en/article-46-transfers-subject-to-appropriate-safeguards-GDPR.htm#:~:text=1,Article%3A%20%2011" TargetMode="External" /><Relationship Type="http://schemas.openxmlformats.org/officeDocument/2006/relationships/hyperlink" Id="rId46" Target="https://www.privacy-regulation.eu/en/article-46-transfers-subject-to-appropriate-safeguards-GDPR.htm#:~:text=2,by%20a%20supervisory%20authority%20and" TargetMode="External" /><Relationship Type="http://schemas.openxmlformats.org/officeDocument/2006/relationships/hyperlink" Id="rId81" Target="https://www.strikegraph.com/blog/difference-between-iso-27001-and-soc-2" TargetMode="External" /><Relationship Type="http://schemas.openxmlformats.org/officeDocument/2006/relationships/hyperlink" Id="rId52" Target="https://www.strikegraph.com/blog/difference-between-iso-27001-and-soc-2#:~:text=%2A%20Both%20are%20well,based%20approaches%20to%20IT%20security" TargetMode="External" /><Relationship Type="http://schemas.openxmlformats.org/officeDocument/2006/relationships/hyperlink" Id="rId55" Target="https://www.strikegraph.com/blog/difference-between-iso-27001-and-soc-2#:~:text=The%20main%20difference%20is%20that,program%20on%20a%20continual%20basis" TargetMode="External" /><Relationship Type="http://schemas.openxmlformats.org/officeDocument/2006/relationships/hyperlink" Id="rId51" Target="https://www.strikegraph.com/blog/difference-between-iso-27001-and-soc-2#:~:text=control%20design%20at%20a%20point,six%20months%20to%20a%20year" TargetMode="External" /><Relationship Type="http://schemas.openxmlformats.org/officeDocument/2006/relationships/hyperlink" Id="rId82" Target="https://www.termsfeed.com/blog/turkey-kvkk-gdpr/" TargetMode="External" /><Relationship Type="http://schemas.openxmlformats.org/officeDocument/2006/relationships/hyperlink" Id="rId54" Target="https://www.termsfeed.com/blog/turkey-kvkk-gdpr/#:~:text=Turkish%20KVKK%20,Notes%20Explicit%20consent%20Consent" TargetMode="External" /></Relationships>
</file>

<file path=word/_rels/footnotes.xml.rels><?xml version="1.0" encoding="UTF-8"?><Relationships xmlns="http://schemas.openxmlformats.org/package/2006/relationships"><Relationship Type="http://schemas.openxmlformats.org/officeDocument/2006/relationships/hyperlink" Id="rId72" Target="https://commission.europa.eu/law/law-topic/data-protection/international-dimension-data-protection/adequacy-decisions_en" TargetMode="External" /><Relationship Type="http://schemas.openxmlformats.org/officeDocument/2006/relationships/hyperlink" Id="rId37" Target="https://commission.europa.eu/law/law-topic/data-protection/international-dimension-data-protection/adequacy-decisions_en#:~:text=,Organisation%20as%20providing%20adequate%20protection" TargetMode="External" /><Relationship Type="http://schemas.openxmlformats.org/officeDocument/2006/relationships/hyperlink" Id="rId74" Target="https://gdpr-info.eu/art-15-gdpr/" TargetMode="External" /><Relationship Type="http://schemas.openxmlformats.org/officeDocument/2006/relationships/hyperlink" Id="rId42" Target="https://gdpr-info.eu/art-15-gdpr/#:~:text=1,of%20processing%20of%20personal%20data" TargetMode="External" /><Relationship Type="http://schemas.openxmlformats.org/officeDocument/2006/relationships/hyperlink" Id="rId76" Target="https://gdpr-info.eu/art-17-gdpr/" TargetMode="External" /><Relationship Type="http://schemas.openxmlformats.org/officeDocument/2006/relationships/hyperlink" Id="rId44" Target="https://gdpr-info.eu/art-17-gdpr/#:~:text=1,legal%20ground%20for%20the%20processing" TargetMode="External" /><Relationship Type="http://schemas.openxmlformats.org/officeDocument/2006/relationships/hyperlink" Id="rId75" Target="https://gdpr-info.eu/art-20-gdpr/" TargetMode="External" /><Relationship Type="http://schemas.openxmlformats.org/officeDocument/2006/relationships/hyperlink" Id="rId43" Target="https://gdpr-info.eu/art-20-gdpr/#:~:text=1,carried%20out%20by%20automated%20means" TargetMode="External" /><Relationship Type="http://schemas.openxmlformats.org/officeDocument/2006/relationships/hyperlink" Id="rId73" Target="https://gdpr-info.eu/art-5-gdpr/" TargetMode="External" /><Relationship Type="http://schemas.openxmlformats.org/officeDocument/2006/relationships/hyperlink" Id="rId38" Target="https://gdpr-info.eu/art-5-gdpr/#:~:text=1,necessary%20in%20relation%20to%20the" TargetMode="External" /><Relationship Type="http://schemas.openxmlformats.org/officeDocument/2006/relationships/hyperlink" Id="rId39" Target="https://gdpr-info.eu/art-5-gdpr/#:~:text=3,archiving%20purposes%20in%20the%20public" TargetMode="External" /><Relationship Type="http://schemas.openxmlformats.org/officeDocument/2006/relationships/hyperlink" Id="rId41" Target="https://gdpr-info.eu/art-5-gdpr/#:~:text=data%2C%20including%20protection%20against%20unauthorised,%E2%80%98accountability%E2%80%99" TargetMode="External" /><Relationship Type="http://schemas.openxmlformats.org/officeDocument/2006/relationships/hyperlink" Id="rId40" Target="https://gdpr-info.eu/art-5-gdpr/#:~:text=delay%20%28%E2%80%98accuracy%E2%80%99%29%3B%205,archiving%20purposes%20in%20the%20public" TargetMode="External" /><Relationship Type="http://schemas.openxmlformats.org/officeDocument/2006/relationships/hyperlink" Id="rId79" Target="https://ico.org.uk/for-organisations/uk-gdpr-guidance-and-resources/accountability-and-governance/data-protection-impact-assessments-dpias/when-do-we-need-to-do-a-dpia/" TargetMode="External" /><Relationship Type="http://schemas.openxmlformats.org/officeDocument/2006/relationships/hyperlink" Id="rId48" Target="https://ico.org.uk/for-organisations/uk-gdpr-guidance-and-resources/accountability-and-governance/data-protection-impact-assessments-dpias/when-do-we-need-to-do-a-dpia/#:~:text=2,sensitive%20data" TargetMode="External" /><Relationship Type="http://schemas.openxmlformats.org/officeDocument/2006/relationships/hyperlink" Id="rId80" Target="https://secureframe.com/hub/iso-27001/controls" TargetMode="External" /><Relationship Type="http://schemas.openxmlformats.org/officeDocument/2006/relationships/hyperlink" Id="rId50" Target="https://secureframe.com/hub/iso-27001/controls#:~:text=Information%20security%20controls%20are%20the,which%20ones%20they%20should%20use" TargetMode="External" /><Relationship Type="http://schemas.openxmlformats.org/officeDocument/2006/relationships/hyperlink" Id="rId63" Target="https://supabase.com/docs/guides/security/hipaa-compliance" TargetMode="External" /><Relationship Type="http://schemas.openxmlformats.org/officeDocument/2006/relationships/hyperlink" Id="rId25" Target="https://supabase.com/docs/guides/security/hipaa-compliance#:~:text=,Hardening%20the%20Data%20API" TargetMode="External" /><Relationship Type="http://schemas.openxmlformats.org/officeDocument/2006/relationships/hyperlink" Id="rId83" Target="https://vercel.com/kb/guide/hipaa-compliance-guide-vercel" TargetMode="External" /><Relationship Type="http://schemas.openxmlformats.org/officeDocument/2006/relationships/hyperlink" Id="rId56" Target="https://vercel.com/kb/guide/hipaa-compliance-guide-vercel#:~:text=Frequently%20Asked%20Questions" TargetMode="External" /><Relationship Type="http://schemas.openxmlformats.org/officeDocument/2006/relationships/hyperlink" Id="rId62" Target="https://www.ecfr.gov/current/title-45/subtitle-A/subchapter-C/part-164/subpart-C/section-164.312" TargetMode="External" /><Relationship Type="http://schemas.openxmlformats.org/officeDocument/2006/relationships/hyperlink" Id="rId24" Target="https://www.ecfr.gov/current/title-45/subtitle-A/subchapter-C/part-164/subpart-C/section-164.312#:~:text=%28b%29%20Standard%3A%20Audit%20controls,use%20electronic%20protected%20health%20information" TargetMode="External" /><Relationship Type="http://schemas.openxmlformats.org/officeDocument/2006/relationships/hyperlink" Id="rId23" Target="https://www.ecfr.gov/current/title-45/subtitle-A/subchapter-C/part-164/subpart-C/section-164.312#:~:text=%28i%29%20Unique%20user%20identification%20%28Required%29,identifying%20and%20tracking%20user%20identity" TargetMode="External" /><Relationship Type="http://schemas.openxmlformats.org/officeDocument/2006/relationships/hyperlink" Id="rId69" Target="https://www.hhs.gov/hipaa/for-professionals/breach-notification/index.html" TargetMode="External" /><Relationship Type="http://schemas.openxmlformats.org/officeDocument/2006/relationships/hyperlink" Id="rId33" Target="https://www.hhs.gov/hipaa/for-professionals/breach-notification/index.html#:~:text=If%20a%20breach%20of%20unsecured,its%20notification%20to%20affected%20individuals" TargetMode="External" /><Relationship Type="http://schemas.openxmlformats.org/officeDocument/2006/relationships/hyperlink" Id="rId32" Target="https://www.hhs.gov/hipaa/for-professionals/breach-notification/index.html#:~:text=These%20individual%20notifications%20must%20be,or%20business%20associate%2C%20as%20applicable" TargetMode="External" /><Relationship Type="http://schemas.openxmlformats.org/officeDocument/2006/relationships/hyperlink" Id="rId31" Target="https://www.hhs.gov/hipaa/for-professionals/breach-notification/index.html#:~:text=form%20,which%20the%20breaches%20are%20discovered" TargetMode="External" /><Relationship Type="http://schemas.openxmlformats.org/officeDocument/2006/relationships/hyperlink" Id="rId71" Target="https://www.hhs.gov/hipaa/for-professionals/compliance-enforcement/agreements/index.html" TargetMode="External" /><Relationship Type="http://schemas.openxmlformats.org/officeDocument/2006/relationships/hyperlink" Id="rId36" Target="https://www.hhs.gov/hipaa/for-professionals/compliance-enforcement/agreements/index.html#:~:text=,December%203%2C%202024" TargetMode="External" /><Relationship Type="http://schemas.openxmlformats.org/officeDocument/2006/relationships/hyperlink" Id="rId66" Target="https://www.hhs.gov/hipaa/for-professionals/faq/390/does-hipaa-require-a-business-associate-to-create-a-notice-of-privacy-practices/index.html" TargetMode="External" /><Relationship Type="http://schemas.openxmlformats.org/officeDocument/2006/relationships/hyperlink" Id="rId28" Target="https://www.hhs.gov/hipaa/for-professionals/faq/390/does-hipaa-require-a-business-associate-to-create-a-notice-of-privacy-practices/index.html#:~:text=No,distribute%20its%20notice%20to%20individuals" TargetMode="External" /><Relationship Type="http://schemas.openxmlformats.org/officeDocument/2006/relationships/hyperlink" Id="rId67" Target="https://www.hhs.gov/hipaa/for-professionals/privacy/guidance/access/index.html" TargetMode="External" /><Relationship Type="http://schemas.openxmlformats.org/officeDocument/2006/relationships/hyperlink" Id="rId29" Target="https://www.hhs.gov/hipaa/for-professionals/privacy/guidance/access/index.html#:~:text=explained%20below,to%20provide%20individuals%20with%20almost" TargetMode="External" /><Relationship Type="http://schemas.openxmlformats.org/officeDocument/2006/relationships/hyperlink" Id="rId60" Target="https://www.hhs.gov/hipaa/for-professionals/privacy/guidance/business-associates/index.html" TargetMode="External" /><Relationship Type="http://schemas.openxmlformats.org/officeDocument/2006/relationships/hyperlink" Id="rId21" Target="https://www.hhs.gov/hipaa/for-professionals/privacy/guidance/business-associates/index.html#:~:text=What%20Is%20a%20%E2%80%9CBusiness%20Associate%3F%E2%80%9D,involve%20the%20use%20or%20disclosure" TargetMode="External" /><Relationship Type="http://schemas.openxmlformats.org/officeDocument/2006/relationships/hyperlink" Id="rId70" Target="https://www.hhs.gov/press-room/ocr-settles-hipaa-with-cadia-healthcare-facilities.html" TargetMode="External" /><Relationship Type="http://schemas.openxmlformats.org/officeDocument/2006/relationships/hyperlink" Id="rId34" Target="https://www.hhs.gov/press-room/ocr-settles-hipaa-with-cadia-healthcare-facilities.html#:~:text=The%20settlement%20resolves%20an%20investigation,%E2%80%9Csuccess%20story%E2%80%9D%20program%20without%20first" TargetMode="External" /><Relationship Type="http://schemas.openxmlformats.org/officeDocument/2006/relationships/hyperlink" Id="rId35" Target="https://www.hhs.gov/press-room/ocr-settles-hipaa-with-cadia-healthcare-facilities.html#:~:text=Under%20the%20terms%20of%20the,and%20Breach%20Notification%20Rules%2C%20including" TargetMode="External" /><Relationship Type="http://schemas.openxmlformats.org/officeDocument/2006/relationships/hyperlink" Id="rId65" Target="https://www.hhs.gov/sites/default/files/ocr/privacy/hipaa/understanding/coveredentities/minimumnecessary.pdf" TargetMode="External" /><Relationship Type="http://schemas.openxmlformats.org/officeDocument/2006/relationships/hyperlink" Id="rId27" Target="https://www.hhs.gov/sites/default/files/ocr/privacy/hipaa/understanding/coveredentities/minimumnecessary.pdf#:~:text=How%20the%20Rule%20Works%20The,necessary%20standard%20does%20not%20apply" TargetMode="External" /><Relationship Type="http://schemas.openxmlformats.org/officeDocument/2006/relationships/hyperlink" Id="rId68" Target="https://www.hipaajournal.com/hipaa-disclosure-accounting/" TargetMode="External" /><Relationship Type="http://schemas.openxmlformats.org/officeDocument/2006/relationships/hyperlink" Id="rId30" Target="https://www.hipaajournal.com/hipaa-disclosure-accounting/#:~:text=,in%20a%20limited%20data%20set" TargetMode="External" /><Relationship Type="http://schemas.openxmlformats.org/officeDocument/2006/relationships/hyperlink" Id="rId64" Target="https://www.hipaajournal.com/hipaa-retention-requirements/" TargetMode="External" /><Relationship Type="http://schemas.openxmlformats.org/officeDocument/2006/relationships/hyperlink" Id="rId26" Target="https://www.hipaajournal.com/hipaa-retention-requirements/#:~:text=Both%20standards%20also%20stipulate%20that,shorter%20periods%20of%20document%20retention" TargetMode="External" /><Relationship Type="http://schemas.openxmlformats.org/officeDocument/2006/relationships/hyperlink" Id="rId78" Target="https://www.kvkk.gov.tr/Icerik/6642/Transfer-of-Personal-Data-Abroad" TargetMode="External" /><Relationship Type="http://schemas.openxmlformats.org/officeDocument/2006/relationships/hyperlink" Id="rId47" Target="https://www.kvkk.gov.tr/Icerik/6642/Transfer-of-Personal-Data-Abroad#:~:text=Under%20Article%209%20of%20the,the%20following%20conditions%20is%20met" TargetMode="External" /><Relationship Type="http://schemas.openxmlformats.org/officeDocument/2006/relationships/hyperlink" Id="rId61" Target="https://www.law.cornell.edu/cfr/text/45/164.308" TargetMode="External" /><Relationship Type="http://schemas.openxmlformats.org/officeDocument/2006/relationships/hyperlink" Id="rId22" Target="https://www.law.cornell.edu/cfr/text/45/164.308#:~:text=%28A%29%20Risk%20analysis%20%28Required%29,entity%20%20or%20%2052" TargetMode="External" /><Relationship Type="http://schemas.openxmlformats.org/officeDocument/2006/relationships/hyperlink" Id="rId77" Target="https://www.privacy-regulation.eu/en/article-46-transfers-subject-to-appropriate-safeguards-GDPR.htm" TargetMode="External" /><Relationship Type="http://schemas.openxmlformats.org/officeDocument/2006/relationships/hyperlink" Id="rId45" Target="https://www.privacy-regulation.eu/en/article-46-transfers-subject-to-appropriate-safeguards-GDPR.htm#:~:text=1,Article%3A%20%2011" TargetMode="External" /><Relationship Type="http://schemas.openxmlformats.org/officeDocument/2006/relationships/hyperlink" Id="rId46" Target="https://www.privacy-regulation.eu/en/article-46-transfers-subject-to-appropriate-safeguards-GDPR.htm#:~:text=2,by%20a%20supervisory%20authority%20and" TargetMode="External" /><Relationship Type="http://schemas.openxmlformats.org/officeDocument/2006/relationships/hyperlink" Id="rId81" Target="https://www.strikegraph.com/blog/difference-between-iso-27001-and-soc-2" TargetMode="External" /><Relationship Type="http://schemas.openxmlformats.org/officeDocument/2006/relationships/hyperlink" Id="rId52" Target="https://www.strikegraph.com/blog/difference-between-iso-27001-and-soc-2#:~:text=%2A%20Both%20are%20well,based%20approaches%20to%20IT%20security" TargetMode="External" /><Relationship Type="http://schemas.openxmlformats.org/officeDocument/2006/relationships/hyperlink" Id="rId55" Target="https://www.strikegraph.com/blog/difference-between-iso-27001-and-soc-2#:~:text=The%20main%20difference%20is%20that,program%20on%20a%20continual%20basis" TargetMode="External" /><Relationship Type="http://schemas.openxmlformats.org/officeDocument/2006/relationships/hyperlink" Id="rId51" Target="https://www.strikegraph.com/blog/difference-between-iso-27001-and-soc-2#:~:text=control%20design%20at%20a%20point,six%20months%20to%20a%20year" TargetMode="External" /><Relationship Type="http://schemas.openxmlformats.org/officeDocument/2006/relationships/hyperlink" Id="rId82" Target="https://www.termsfeed.com/blog/turkey-kvkk-gdpr/" TargetMode="External" /><Relationship Type="http://schemas.openxmlformats.org/officeDocument/2006/relationships/hyperlink" Id="rId54" Target="https://www.termsfeed.com/blog/turkey-kvkk-gdpr/#:~:text=Turkish%20KVKK%20,Notes%20Explicit%20consent%20Cons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2026-01-30T19:50:53Z</dcterms:created>
  <dcterms:modified xsi:type="dcterms:W3CDTF">2026-01-30T19:50:53Z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