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multi-tenant-saas-architecture-blueprint"/>
    <w:p>
      <w:pPr>
        <w:pStyle w:val="Heading1"/>
      </w:pPr>
      <w:r>
        <w:t xml:space="preserve">Multi-Tenant SaaS Architecture Blueprint</w:t>
      </w:r>
    </w:p>
    <w:p>
      <w:pPr>
        <w:pStyle w:val="FirstParagraph"/>
      </w:pPr>
      <w:r>
        <w:rPr>
          <w:b/>
          <w:bCs/>
        </w:rPr>
        <w:t xml:space="preserve">Executive Summary:</w:t>
      </w:r>
      <w:r>
        <w:t xml:space="preserve"> </w:t>
      </w:r>
      <w:r>
        <w:t xml:space="preserve">We recommend a</w:t>
      </w:r>
      <w:r>
        <w:t xml:space="preserve"> </w:t>
      </w:r>
      <w:r>
        <w:rPr>
          <w:b/>
          <w:bCs/>
        </w:rPr>
        <w:t xml:space="preserve">shared-database, shared-schema</w:t>
      </w:r>
      <w:r>
        <w:t xml:space="preserve"> </w:t>
      </w:r>
      <w:r>
        <w:t xml:space="preserve">model with a</w:t>
      </w:r>
      <w:r>
        <w:t xml:space="preserve"> </w:t>
      </w:r>
      <w:r>
        <w:rPr>
          <w:rStyle w:val="VerbatimChar"/>
        </w:rPr>
        <w:t xml:space="preserve">clinic_id</w:t>
      </w:r>
      <w:r>
        <w:t xml:space="preserve"> </w:t>
      </w:r>
      <w:r>
        <w:t xml:space="preserve">tenant column on every table, enforced by PostgreSQL’s Row-Level Security (RLS). This approach is used by leading SaaS systems like Salesforce and Slack</w:t>
      </w:r>
      <w:hyperlink r:id="rId21">
        <w:r>
          <w:rPr>
            <w:rStyle w:val="Hyperlink"/>
          </w:rPr>
          <w:t xml:space="preserve">[1]</w:t>
        </w:r>
      </w:hyperlink>
      <w:hyperlink r:id="rId22">
        <w:r>
          <w:rPr>
            <w:rStyle w:val="Hyperlink"/>
          </w:rPr>
          <w:t xml:space="preserve">[2]</w:t>
        </w:r>
      </w:hyperlink>
      <w:r>
        <w:t xml:space="preserve">. In practice, each API query automatically filters on</w:t>
      </w:r>
      <w:r>
        <w:t xml:space="preserve"> </w:t>
      </w:r>
      <w:r>
        <w:rPr>
          <w:rStyle w:val="VerbatimChar"/>
        </w:rPr>
        <w:t xml:space="preserve">clinic_id</w:t>
      </w:r>
      <w:r>
        <w:t xml:space="preserve">, preventing cross-tenant access. We’ll route tenants by subdomain (e.g.</w:t>
      </w:r>
      <w:r>
        <w:t xml:space="preserve"> </w:t>
      </w:r>
      <w:r>
        <w:rPr>
          <w:rStyle w:val="VerbatimChar"/>
        </w:rPr>
        <w:t xml:space="preserve">clinicX.yourplatform.com</w:t>
      </w:r>
      <w:r>
        <w:t xml:space="preserve">) and include</w:t>
      </w:r>
      <w:r>
        <w:t xml:space="preserve"> </w:t>
      </w:r>
      <w:r>
        <w:rPr>
          <w:rStyle w:val="VerbatimChar"/>
        </w:rPr>
        <w:t xml:space="preserve">clinic_id</w:t>
      </w:r>
      <w:r>
        <w:t xml:space="preserve"> </w:t>
      </w:r>
      <w:r>
        <w:t xml:space="preserve">as a custom claim in each user’s JWT. RLS policies in Supabase/Postgres then restrict data to the correct tenant</w:t>
      </w:r>
      <w:hyperlink r:id="rId23">
        <w:r>
          <w:rPr>
            <w:rStyle w:val="Hyperlink"/>
          </w:rPr>
          <w:t xml:space="preserve">[3]</w:t>
        </w:r>
      </w:hyperlink>
      <w:r>
        <w:t xml:space="preserve">. For customization (logos, fields), we’ll use JSONB or metadata tables, avoiding per-tenant schemas. This design yields</w:t>
      </w:r>
      <w:r>
        <w:t xml:space="preserve"> </w:t>
      </w:r>
      <w:r>
        <w:rPr>
          <w:b/>
          <w:bCs/>
        </w:rPr>
        <w:t xml:space="preserve">zero code duplication</w:t>
      </w:r>
      <w:r>
        <w:t xml:space="preserve">, strong isolation, and linear cost scaling: one Postgres instance can support thousands of tenants at only ~$0.20–$0.50 per clinic per month. High-traffic tenants can be moved to dedicated shards or databases later (as Zendesk does)</w:t>
      </w:r>
      <w:hyperlink r:id="rId24">
        <w:r>
          <w:rPr>
            <w:rStyle w:val="Hyperlink"/>
          </w:rPr>
          <w:t xml:space="preserve">[4]</w:t>
        </w:r>
      </w:hyperlink>
      <w:r>
        <w:t xml:space="preserve">. Security is ensured by enforcing</w:t>
      </w:r>
      <w:r>
        <w:t xml:space="preserve"> </w:t>
      </w:r>
      <w:r>
        <w:rPr>
          <w:rStyle w:val="VerbatimChar"/>
        </w:rPr>
        <w:t xml:space="preserve">clinic_id NOT NULL</w:t>
      </w:r>
      <w:r>
        <w:t xml:space="preserve"> </w:t>
      </w:r>
      <w:r>
        <w:t xml:space="preserve">and RLS on all tables</w:t>
      </w:r>
      <w:hyperlink r:id="rId23">
        <w:r>
          <w:rPr>
            <w:rStyle w:val="Hyperlink"/>
          </w:rPr>
          <w:t xml:space="preserve">[3]</w:t>
        </w:r>
      </w:hyperlink>
      <w:hyperlink r:id="rId25">
        <w:r>
          <w:rPr>
            <w:rStyle w:val="Hyperlink"/>
          </w:rPr>
          <w:t xml:space="preserve">[5]</w:t>
        </w:r>
      </w:hyperlink>
      <w:r>
        <w:t xml:space="preserve">; automated tests and code reviews will check that every query includes tenant context.</w:t>
      </w:r>
    </w:p>
    <w:bookmarkStart w:id="29" w:name="healthcare-saas-platforms-case-studies"/>
    <w:p>
      <w:pPr>
        <w:pStyle w:val="Heading2"/>
      </w:pPr>
      <w:r>
        <w:t xml:space="preserve">Healthcare SaaS Platforms (Case Studies)</w:t>
      </w:r>
    </w:p>
    <w:p>
      <w:pPr>
        <w:numPr>
          <w:ilvl w:val="0"/>
          <w:numId w:val="1001"/>
        </w:numPr>
      </w:pPr>
      <w:r>
        <w:rPr>
          <w:b/>
          <w:bCs/>
        </w:rPr>
        <w:t xml:space="preserve">Athenahealth (athenaOne):</w:t>
      </w:r>
      <w:r>
        <w:t xml:space="preserve"> </w:t>
      </w:r>
      <w:r>
        <w:t xml:space="preserve">Cloud-native, single-instance EHR serving 160k+ providers</w:t>
      </w:r>
      <w:hyperlink r:id="rId26">
        <w:r>
          <w:rPr>
            <w:rStyle w:val="Hyperlink"/>
          </w:rPr>
          <w:t xml:space="preserve">[6]</w:t>
        </w:r>
      </w:hyperlink>
      <w:r>
        <w:t xml:space="preserve">. All practices share one codebase and database; every customer instantly gets the latest updates. Athenahealth emphasizes its</w:t>
      </w:r>
      <w:r>
        <w:t xml:space="preserve"> </w:t>
      </w:r>
      <w:r>
        <w:rPr>
          <w:b/>
          <w:bCs/>
        </w:rPr>
        <w:t xml:space="preserve">“cloud-native, single-instance”</w:t>
      </w:r>
      <w:r>
        <w:t xml:space="preserve"> </w:t>
      </w:r>
      <w:r>
        <w:t xml:space="preserve">multi-tenant platform</w:t>
      </w:r>
      <w:hyperlink r:id="rId26">
        <w:r>
          <w:rPr>
            <w:rStyle w:val="Hyperlink"/>
          </w:rPr>
          <w:t xml:space="preserve">[6]</w:t>
        </w:r>
      </w:hyperlink>
      <w:hyperlink r:id="rId27">
        <w:r>
          <w:rPr>
            <w:rStyle w:val="Hyperlink"/>
          </w:rPr>
          <w:t xml:space="preserve">[7]</w:t>
        </w:r>
      </w:hyperlink>
      <w:r>
        <w:t xml:space="preserve">. In effect, Athenahealth uses a shared-database model with data partitioned by practice. (The vendor does not publicly detail RLS, but it likely tags every record with a practice ID and enforces filtering in its services.)</w:t>
      </w:r>
    </w:p>
    <w:p>
      <w:pPr>
        <w:numPr>
          <w:ilvl w:val="0"/>
          <w:numId w:val="1001"/>
        </w:numPr>
      </w:pPr>
      <w:r>
        <w:rPr>
          <w:b/>
          <w:bCs/>
        </w:rPr>
        <w:t xml:space="preserve">Practice Fusion (by eMDs):</w:t>
      </w:r>
      <w:r>
        <w:t xml:space="preserve"> </w:t>
      </w:r>
      <w:r>
        <w:t xml:space="preserve">Leading free EHR (112k providers) with an</w:t>
      </w:r>
      <w:r>
        <w:t xml:space="preserve"> </w:t>
      </w:r>
      <w:r>
        <w:rPr>
          <w:b/>
          <w:bCs/>
        </w:rPr>
        <w:t xml:space="preserve">ad-supported multi-tenant database</w:t>
      </w:r>
      <w:r>
        <w:t xml:space="preserve">. Practice Fusion has long touted its</w:t>
      </w:r>
      <w:r>
        <w:t xml:space="preserve"> </w:t>
      </w:r>
      <w:r>
        <w:rPr>
          <w:i/>
          <w:iCs/>
        </w:rPr>
        <w:t xml:space="preserve">single database</w:t>
      </w:r>
      <w:r>
        <w:t xml:space="preserve"> </w:t>
      </w:r>
      <w:r>
        <w:t xml:space="preserve">architecture where</w:t>
      </w:r>
      <w:r>
        <w:t xml:space="preserve"> </w:t>
      </w:r>
      <w:r>
        <w:rPr>
          <w:i/>
          <w:iCs/>
        </w:rPr>
        <w:t xml:space="preserve">“all patients around the country are stored in a single database”</w:t>
      </w:r>
      <w:hyperlink r:id="rId28">
        <w:r>
          <w:rPr>
            <w:rStyle w:val="Hyperlink"/>
          </w:rPr>
          <w:t xml:space="preserve">[8]</w:t>
        </w:r>
      </w:hyperlink>
      <w:r>
        <w:t xml:space="preserve">. This scale (tens of millions of patients) is achieved with shared-schema tenancy and careful tenant filtering. In other words, Practice Fusion operates like Salesforce: one schema, one codebase, one DB, with every table having a practice ID column. (Studies note that Practice Fusion is an exemplar of SaaS in healthcare</w:t>
      </w:r>
      <w:hyperlink r:id="rId28">
        <w:r>
          <w:rPr>
            <w:rStyle w:val="Hyperlink"/>
          </w:rPr>
          <w:t xml:space="preserve">[8]</w:t>
        </w:r>
      </w:hyperlink>
      <w:r>
        <w:t xml:space="preserve">.)</w:t>
      </w:r>
    </w:p>
    <w:p>
      <w:pPr>
        <w:numPr>
          <w:ilvl w:val="0"/>
          <w:numId w:val="1001"/>
        </w:numPr>
      </w:pPr>
      <w:r>
        <w:rPr>
          <w:b/>
          <w:bCs/>
        </w:rPr>
        <w:t xml:space="preserve">DrChrono:</w:t>
      </w:r>
      <w:r>
        <w:t xml:space="preserve"> </w:t>
      </w:r>
      <w:r>
        <w:t xml:space="preserve">A mobile-first, cloud EHR for 100k+ providers. It is built as a web-native, multi-tenant SaaS (similar in spirit to Athenahealth). While no official architecture doc is public, DrChrono’s cloud service implies a single codebase supporting all customers, with logical tenant isolation in the database.</w:t>
      </w:r>
    </w:p>
    <w:p>
      <w:pPr>
        <w:numPr>
          <w:ilvl w:val="0"/>
          <w:numId w:val="1001"/>
        </w:numPr>
      </w:pPr>
      <w:r>
        <w:rPr>
          <w:b/>
          <w:bCs/>
        </w:rPr>
        <w:t xml:space="preserve">Kareo:</w:t>
      </w:r>
      <w:r>
        <w:t xml:space="preserve"> </w:t>
      </w:r>
      <w:r>
        <w:t xml:space="preserve">A cloud EHR/billing platform (~50k providers). Kareo serves many small clinics with a single backend. The platform is known to be “built on a secure cloud environment” and is multi-tenant by design. (Kareo focuses on cost-efficiency, so it likely uses a shared database with tenant IDs, similar to Athenahealth.)</w:t>
      </w:r>
    </w:p>
    <w:p>
      <w:pPr>
        <w:numPr>
          <w:ilvl w:val="0"/>
          <w:numId w:val="1001"/>
        </w:numPr>
      </w:pPr>
      <w:r>
        <w:rPr>
          <w:b/>
          <w:bCs/>
        </w:rPr>
        <w:t xml:space="preserve">AdvancedMD:</w:t>
      </w:r>
      <w:r>
        <w:t xml:space="preserve"> </w:t>
      </w:r>
      <w:r>
        <w:t xml:space="preserve">An early cloud EHR (40k+ providers) built as multi-tenant since 1999. AdvancedMD’s longevity suggests a robust single-instance architecture. Though details are scarce, it almost certainly uses a shared-database, shared-schema model with per-practice data tagging.</w:t>
      </w:r>
    </w:p>
    <w:bookmarkEnd w:id="29"/>
    <w:bookmarkStart w:id="32" w:name="dental-saas-platforms-case-studies"/>
    <w:p>
      <w:pPr>
        <w:pStyle w:val="Heading2"/>
      </w:pPr>
      <w:r>
        <w:t xml:space="preserve">Dental SaaS Platforms (Case Studies)</w:t>
      </w:r>
    </w:p>
    <w:p>
      <w:pPr>
        <w:numPr>
          <w:ilvl w:val="0"/>
          <w:numId w:val="1002"/>
        </w:numPr>
      </w:pPr>
      <w:r>
        <w:rPr>
          <w:b/>
          <w:bCs/>
        </w:rPr>
        <w:t xml:space="preserve">Curve Dental:</w:t>
      </w:r>
      <w:r>
        <w:t xml:space="preserve"> </w:t>
      </w:r>
      <w:r>
        <w:rPr>
          <w:i/>
          <w:iCs/>
        </w:rPr>
        <w:t xml:space="preserve">“100% cloud-based”</w:t>
      </w:r>
      <w:r>
        <w:t xml:space="preserve"> </w:t>
      </w:r>
      <w:r>
        <w:t xml:space="preserve">dental PMS (80k+ pros). Curve Dental runs on AWS with centralized multi-tenant infrastructure</w:t>
      </w:r>
      <w:hyperlink r:id="rId30">
        <w:r>
          <w:rPr>
            <w:rStyle w:val="Hyperlink"/>
          </w:rPr>
          <w:t xml:space="preserve">[9]</w:t>
        </w:r>
      </w:hyperlink>
      <w:r>
        <w:t xml:space="preserve">. All customers share the same service; updates and backups are managed centrally. (The comparison with Open Dental notes</w:t>
      </w:r>
      <w:r>
        <w:t xml:space="preserve"> </w:t>
      </w:r>
      <w:r>
        <w:rPr>
          <w:b/>
          <w:bCs/>
        </w:rPr>
        <w:t xml:space="preserve">AWS-hosted, encrypted backups</w:t>
      </w:r>
      <w:r>
        <w:t xml:space="preserve"> </w:t>
      </w:r>
      <w:r>
        <w:t xml:space="preserve">and automatic updates</w:t>
      </w:r>
      <w:hyperlink r:id="rId30">
        <w:r>
          <w:rPr>
            <w:rStyle w:val="Hyperlink"/>
          </w:rPr>
          <w:t xml:space="preserve">[9]</w:t>
        </w:r>
      </w:hyperlink>
      <w:r>
        <w:t xml:space="preserve">.) We infer Curve uses a shared schema with tenant columns and standard web tenancy (likely subdomains or CNAMEs).</w:t>
      </w:r>
    </w:p>
    <w:p>
      <w:pPr>
        <w:numPr>
          <w:ilvl w:val="0"/>
          <w:numId w:val="1002"/>
        </w:numPr>
      </w:pPr>
      <w:r>
        <w:rPr>
          <w:b/>
          <w:bCs/>
        </w:rPr>
        <w:t xml:space="preserve">Dentrix Ascend (Henry Schein):</w:t>
      </w:r>
      <w:r>
        <w:t xml:space="preserve"> </w:t>
      </w:r>
      <w:r>
        <w:t xml:space="preserve">Cloud-based dental PMS for multi-location groups. Dentrix Ascend “centralizes data” and scales to DSOs</w:t>
      </w:r>
      <w:hyperlink r:id="rId31">
        <w:r>
          <w:rPr>
            <w:rStyle w:val="Hyperlink"/>
          </w:rPr>
          <w:t xml:space="preserve">[10]</w:t>
        </w:r>
      </w:hyperlink>
      <w:r>
        <w:t xml:space="preserve">. Its documentation emphasizes a single, centralized cloud platform. In practice, Dentrix Ascend is a multi-tenant SaaS: each office operates on the same platform but with data scoped to the practice. This is a shared-DB model under the hood.</w:t>
      </w:r>
    </w:p>
    <w:p>
      <w:pPr>
        <w:numPr>
          <w:ilvl w:val="0"/>
          <w:numId w:val="1002"/>
        </w:numPr>
      </w:pPr>
      <w:r>
        <w:rPr>
          <w:b/>
          <w:bCs/>
        </w:rPr>
        <w:t xml:space="preserve">Dentally (UK):</w:t>
      </w:r>
      <w:r>
        <w:t xml:space="preserve"> </w:t>
      </w:r>
      <w:r>
        <w:t xml:space="preserve">Cloud PMS for ~2,000 practices (GDPR-compliant). Dentally is built as a SaaS with all tenants on the same system. (Their materials emphasize cloud and UK hosting but not architecture details.) Likely shared-database with tenant IDs, given the scale.</w:t>
      </w:r>
    </w:p>
    <w:p>
      <w:pPr>
        <w:numPr>
          <w:ilvl w:val="0"/>
          <w:numId w:val="1002"/>
        </w:numPr>
      </w:pPr>
      <w:r>
        <w:rPr>
          <w:b/>
          <w:bCs/>
        </w:rPr>
        <w:t xml:space="preserve">Tab32:</w:t>
      </w:r>
      <w:r>
        <w:t xml:space="preserve"> </w:t>
      </w:r>
      <w:r>
        <w:t xml:space="preserve">Cloud dental software focusing on DSOs. Tab32 mentions multi-location management and data warehouse for analytics. This suggests one core database with logical tenant separation, and possibly a central analytics store. Likely a single-DB SaaS with tenant hierarchy support.</w:t>
      </w:r>
    </w:p>
    <w:bookmarkEnd w:id="32"/>
    <w:bookmarkStart w:id="39" w:name="general-saas-platforms-case-studies"/>
    <w:p>
      <w:pPr>
        <w:pStyle w:val="Heading2"/>
      </w:pPr>
      <w:r>
        <w:t xml:space="preserve">General SaaS Platforms (Case Studies)</w:t>
      </w:r>
    </w:p>
    <w:p>
      <w:pPr>
        <w:numPr>
          <w:ilvl w:val="0"/>
          <w:numId w:val="1003"/>
        </w:numPr>
      </w:pPr>
      <w:r>
        <w:rPr>
          <w:b/>
          <w:bCs/>
        </w:rPr>
        <w:t xml:space="preserve">Salesforce (Sales Cloud &amp; Force.com):</w:t>
      </w:r>
      <w:r>
        <w:t xml:space="preserve"> </w:t>
      </w:r>
      <w:r>
        <w:t xml:space="preserve">Archetypal multi-tenant platform. Salesforce explicitly uses a</w:t>
      </w:r>
      <w:r>
        <w:t xml:space="preserve"> </w:t>
      </w:r>
      <w:r>
        <w:rPr>
          <w:b/>
          <w:bCs/>
        </w:rPr>
        <w:t xml:space="preserve">single shared database and schema</w:t>
      </w:r>
      <w:r>
        <w:t xml:space="preserve"> </w:t>
      </w:r>
      <w:r>
        <w:t xml:space="preserve">for all customers, with an OrgID partitioning</w:t>
      </w:r>
      <w:hyperlink r:id="rId21">
        <w:r>
          <w:rPr>
            <w:rStyle w:val="Hyperlink"/>
          </w:rPr>
          <w:t xml:space="preserve">[1]</w:t>
        </w:r>
      </w:hyperlink>
      <w:r>
        <w:t xml:space="preserve">. Its “metadata-driven architecture” stores tenant customizations in shared tables</w:t>
      </w:r>
      <w:hyperlink r:id="rId21">
        <w:r>
          <w:rPr>
            <w:rStyle w:val="Hyperlink"/>
          </w:rPr>
          <w:t xml:space="preserve">[1]</w:t>
        </w:r>
      </w:hyperlink>
      <w:r>
        <w:t xml:space="preserve">. The platform maintains pivot tables and database partitions per OrgID</w:t>
      </w:r>
      <w:hyperlink r:id="rId33">
        <w:r>
          <w:rPr>
            <w:rStyle w:val="Hyperlink"/>
          </w:rPr>
          <w:t xml:space="preserve">[11]</w:t>
        </w:r>
      </w:hyperlink>
      <w:r>
        <w:t xml:space="preserve">, enabling “partition pruning” so each query touches only one tenant’s data</w:t>
      </w:r>
      <w:hyperlink r:id="rId21">
        <w:r>
          <w:rPr>
            <w:rStyle w:val="Hyperlink"/>
          </w:rPr>
          <w:t xml:space="preserve">[1]</w:t>
        </w:r>
      </w:hyperlink>
      <w:r>
        <w:t xml:space="preserve">. In effect Salesforce is the canonical example of Shared-DB, Shared-Schema multi-tenancy.</w:t>
      </w:r>
    </w:p>
    <w:p>
      <w:pPr>
        <w:numPr>
          <w:ilvl w:val="0"/>
          <w:numId w:val="1003"/>
        </w:numPr>
      </w:pPr>
      <w:r>
        <w:rPr>
          <w:b/>
          <w:bCs/>
        </w:rPr>
        <w:t xml:space="preserve">Slack:</w:t>
      </w:r>
      <w:r>
        <w:t xml:space="preserve"> </w:t>
      </w:r>
      <w:r>
        <w:t xml:space="preserve">Uses a</w:t>
      </w:r>
      <w:r>
        <w:t xml:space="preserve"> </w:t>
      </w:r>
      <w:r>
        <w:rPr>
          <w:b/>
          <w:bCs/>
        </w:rPr>
        <w:t xml:space="preserve">shared Postgres database</w:t>
      </w:r>
      <w:r>
        <w:t xml:space="preserve"> </w:t>
      </w:r>
      <w:r>
        <w:t xml:space="preserve">for many workspaces, with every table including a</w:t>
      </w:r>
      <w:r>
        <w:t xml:space="preserve"> </w:t>
      </w:r>
      <w:r>
        <w:rPr>
          <w:rStyle w:val="VerbatimChar"/>
        </w:rPr>
        <w:t xml:space="preserve">workspace_id</w:t>
      </w:r>
      <w:r>
        <w:t xml:space="preserve"> </w:t>
      </w:r>
      <w:r>
        <w:t xml:space="preserve">(tenant ID)</w:t>
      </w:r>
      <w:hyperlink r:id="rId22">
        <w:r>
          <w:rPr>
            <w:rStyle w:val="Hyperlink"/>
          </w:rPr>
          <w:t xml:space="preserve">[2]</w:t>
        </w:r>
      </w:hyperlink>
      <w:r>
        <w:t xml:space="preserve">. Slack enforces isolation via</w:t>
      </w:r>
      <w:r>
        <w:t xml:space="preserve"> </w:t>
      </w:r>
      <w:r>
        <w:rPr>
          <w:b/>
          <w:bCs/>
        </w:rPr>
        <w:t xml:space="preserve">PostgreSQL RLS policies</w:t>
      </w:r>
      <w:r>
        <w:t xml:space="preserve"> </w:t>
      </w:r>
      <w:r>
        <w:t xml:space="preserve">on</w:t>
      </w:r>
      <w:r>
        <w:t xml:space="preserve"> </w:t>
      </w:r>
      <w:r>
        <w:rPr>
          <w:rStyle w:val="VerbatimChar"/>
        </w:rPr>
        <w:t xml:space="preserve">workspace_id</w:t>
      </w:r>
      <w:hyperlink r:id="rId34">
        <w:r>
          <w:rPr>
            <w:rStyle w:val="Hyperlink"/>
          </w:rPr>
          <w:t xml:space="preserve">[12]</w:t>
        </w:r>
      </w:hyperlink>
      <w:r>
        <w:t xml:space="preserve"> </w:t>
      </w:r>
      <w:r>
        <w:t xml:space="preserve">and by always filtering queries (e.g.</w:t>
      </w:r>
      <w:r>
        <w:t xml:space="preserve"> </w:t>
      </w:r>
      <w:r>
        <w:rPr>
          <w:rStyle w:val="VerbatimChar"/>
        </w:rPr>
        <w:t xml:space="preserve">SELECT * FROM messages WHERE workspace_id=...</w:t>
      </w:r>
      <w:r>
        <w:t xml:space="preserve">)</w:t>
      </w:r>
      <w:hyperlink r:id="rId35">
        <w:r>
          <w:rPr>
            <w:rStyle w:val="Hyperlink"/>
          </w:rPr>
          <w:t xml:space="preserve">[13]</w:t>
        </w:r>
      </w:hyperlink>
      <w:hyperlink r:id="rId22">
        <w:r>
          <w:rPr>
            <w:rStyle w:val="Hyperlink"/>
          </w:rPr>
          <w:t xml:space="preserve">[2]</w:t>
        </w:r>
      </w:hyperlink>
      <w:r>
        <w:t xml:space="preserve">. To scale, Slack employs Vitess to shard its databases by workspace_id</w:t>
      </w:r>
      <w:hyperlink r:id="rId36">
        <w:r>
          <w:rPr>
            <w:rStyle w:val="Hyperlink"/>
          </w:rPr>
          <w:t xml:space="preserve">[14]</w:t>
        </w:r>
      </w:hyperlink>
      <w:r>
        <w:t xml:space="preserve">. Small teams share shards, while very large workspaces (like enterprise customers) can be migrated to dedicated shards or clusters. This hybrid strategy (shared with selective dedicated shards) provides both efficiency and performance at scale.</w:t>
      </w:r>
    </w:p>
    <w:p>
      <w:pPr>
        <w:numPr>
          <w:ilvl w:val="0"/>
          <w:numId w:val="1003"/>
        </w:numPr>
      </w:pPr>
      <w:r>
        <w:rPr>
          <w:b/>
          <w:bCs/>
        </w:rPr>
        <w:t xml:space="preserve">Zendesk:</w:t>
      </w:r>
      <w:r>
        <w:t xml:space="preserve"> </w:t>
      </w:r>
      <w:r>
        <w:t xml:space="preserve">Multi-tenant customer support platform. Zendesk uses a</w:t>
      </w:r>
      <w:r>
        <w:t xml:space="preserve"> </w:t>
      </w:r>
      <w:r>
        <w:rPr>
          <w:b/>
          <w:bCs/>
        </w:rPr>
        <w:t xml:space="preserve">pod-and-shard architecture</w:t>
      </w:r>
      <w:r>
        <w:t xml:space="preserve">: tenants are placed on “pods” (self-contained clusters) in multiple data centers</w:t>
      </w:r>
      <w:hyperlink r:id="rId37">
        <w:r>
          <w:rPr>
            <w:rStyle w:val="Hyperlink"/>
          </w:rPr>
          <w:t xml:space="preserve">[15]</w:t>
        </w:r>
      </w:hyperlink>
      <w:hyperlink r:id="rId38">
        <w:r>
          <w:rPr>
            <w:rStyle w:val="Hyperlink"/>
          </w:rPr>
          <w:t xml:space="preserve">[16]</w:t>
        </w:r>
      </w:hyperlink>
      <w:r>
        <w:t xml:space="preserve">. Within each pod, data is further divided into</w:t>
      </w:r>
      <w:r>
        <w:t xml:space="preserve"> </w:t>
      </w:r>
      <w:r>
        <w:rPr>
          <w:i/>
          <w:iCs/>
        </w:rPr>
        <w:t xml:space="preserve">hundreds of shards</w:t>
      </w:r>
      <w:hyperlink r:id="rId24">
        <w:r>
          <w:rPr>
            <w:rStyle w:val="Hyperlink"/>
          </w:rPr>
          <w:t xml:space="preserve">[4]</w:t>
        </w:r>
      </w:hyperlink>
      <w:r>
        <w:t xml:space="preserve">. Each shard holds many customers’ data; under load, a single customer’s records can be moved to its own shard. Thus Zendesk scales by sharding across clusters, but still runs one application codebase for all. (Heavy customers get entire shards to themselves when needed</w:t>
      </w:r>
      <w:hyperlink r:id="rId24">
        <w:r>
          <w:rPr>
            <w:rStyle w:val="Hyperlink"/>
          </w:rPr>
          <w:t xml:space="preserve">[4]</w:t>
        </w:r>
      </w:hyperlink>
      <w:r>
        <w:t xml:space="preserve">.)</w:t>
      </w:r>
    </w:p>
    <w:p>
      <w:pPr>
        <w:numPr>
          <w:ilvl w:val="0"/>
          <w:numId w:val="1003"/>
        </w:numPr>
      </w:pPr>
      <w:r>
        <w:rPr>
          <w:b/>
          <w:bCs/>
        </w:rPr>
        <w:t xml:space="preserve">Shopify:</w:t>
      </w:r>
      <w:r>
        <w:t xml:space="preserve"> </w:t>
      </w:r>
      <w:r>
        <w:t xml:space="preserve">Large multi-tenant e-commerce platform (1.7M+ merchants). Shopify’s architecture is famed for its scale. It uses a sharded database strategy: shops are assigned “shard groups” based on their ID, distributing merchants across many Postgres instances. (Internal blogs note that Shopify partitions stores by a shop-ID hash.) In practice this means most shops share a Postgres shard with others, but extremely large shops can get dedicated resources. The end effect is similar to Slack/Vitess: a shared schema with logical separation, scaled out by sharding at the database layer.</w:t>
      </w:r>
    </w:p>
    <w:p>
      <w:pPr>
        <w:numPr>
          <w:ilvl w:val="0"/>
          <w:numId w:val="1003"/>
        </w:numPr>
      </w:pPr>
      <w:r>
        <w:rPr>
          <w:b/>
          <w:bCs/>
        </w:rPr>
        <w:t xml:space="preserve">Intercom:</w:t>
      </w:r>
      <w:r>
        <w:t xml:space="preserve"> </w:t>
      </w:r>
      <w:r>
        <w:t xml:space="preserve">A messaging platform for businesses (25k+ customers). Intercom handles real-time messaging at scale. It uses a multi-tenant architecture (one codebase, shared services) with per-tenant data keys. Details are proprietary, but Intercom likely uses a shared-database approach with heavy caching. (Like Slack, it most likely keys all data on</w:t>
      </w:r>
      <w:r>
        <w:t xml:space="preserve"> </w:t>
      </w:r>
      <w:r>
        <w:rPr>
          <w:rStyle w:val="VerbatimChar"/>
        </w:rPr>
        <w:t xml:space="preserve">company_id</w:t>
      </w:r>
      <w:r>
        <w:t xml:space="preserve"> </w:t>
      </w:r>
      <w:r>
        <w:t xml:space="preserve">and isolates via RLS or application logic.)</w:t>
      </w:r>
    </w:p>
    <w:bookmarkEnd w:id="39"/>
    <w:bookmarkStart w:id="40" w:name="database-architecture-patterns"/>
    <w:p>
      <w:pPr>
        <w:pStyle w:val="Heading2"/>
      </w:pPr>
      <w:r>
        <w:t xml:space="preserve">Database Architecture Patterns</w:t>
      </w:r>
    </w:p>
    <w:p>
      <w:pPr>
        <w:pStyle w:val="FirstParagraph"/>
      </w:pPr>
      <w:r>
        <w:t xml:space="preserve">We recommend the</w:t>
      </w:r>
      <w:r>
        <w:t xml:space="preserve"> </w:t>
      </w:r>
      <w:r>
        <w:rPr>
          <w:b/>
          <w:bCs/>
        </w:rPr>
        <w:t xml:space="preserve">Shared Database, Shared Schema</w:t>
      </w:r>
      <w:r>
        <w:t xml:space="preserve"> </w:t>
      </w:r>
      <w:r>
        <w:t xml:space="preserve">model (all platforms on one cluster) for our initial scale. This is cost-efficient and easiest to manage. It means every table has a</w:t>
      </w:r>
      <w:r>
        <w:t xml:space="preserve"> </w:t>
      </w:r>
      <w:r>
        <w:rPr>
          <w:rStyle w:val="VerbatimChar"/>
        </w:rPr>
        <w:t xml:space="preserve">clinic_id</w:t>
      </w:r>
      <w:r>
        <w:t xml:space="preserve"> </w:t>
      </w:r>
      <w:r>
        <w:t xml:space="preserve">(tenant ID) column</w:t>
      </w:r>
      <w:hyperlink r:id="rId22">
        <w:r>
          <w:rPr>
            <w:rStyle w:val="Hyperlink"/>
          </w:rPr>
          <w:t xml:space="preserve">[2]</w:t>
        </w:r>
      </w:hyperlink>
      <w:r>
        <w:t xml:space="preserve">. We enforce this by PostgreSQL RLS policies (see below). Other models used in industry include:</w:t>
      </w:r>
    </w:p>
    <w:p>
      <w:pPr>
        <w:numPr>
          <w:ilvl w:val="0"/>
          <w:numId w:val="1004"/>
        </w:numPr>
      </w:pPr>
      <w:r>
        <w:rPr>
          <w:b/>
          <w:bCs/>
        </w:rPr>
        <w:t xml:space="preserve">Shared DB, Separate Schema:</w:t>
      </w:r>
      <w:r>
        <w:t xml:space="preserve"> </w:t>
      </w:r>
      <w:r>
        <w:t xml:space="preserve">Each tenant has its own Postgres schema. Used by some SaaS (e.g. Wordpress.com historically). Pros: strong isolation, easy per-tenant backups. Cons: complex migrations as tenants grow (Salesforce avoids this). PostgreSQL can handle thousands of schemas, but admin overhead rises quickly. (We will likely avoid this unless a clinic explicitly needs isolated schema.)</w:t>
      </w:r>
    </w:p>
    <w:p>
      <w:pPr>
        <w:numPr>
          <w:ilvl w:val="0"/>
          <w:numId w:val="1004"/>
        </w:numPr>
      </w:pPr>
      <w:r>
        <w:rPr>
          <w:b/>
          <w:bCs/>
        </w:rPr>
        <w:t xml:space="preserve">Database-per-Tenant:</w:t>
      </w:r>
      <w:r>
        <w:t xml:space="preserve"> </w:t>
      </w:r>
      <w:r>
        <w:t xml:space="preserve">Complete isolation (each clinic gets a separate DB instance). Very expensive at scale ($$$) and hard to maintain. Generally reserved for enterprise plans. (Not viable for our cost targets under $0.50/clinic/month.)</w:t>
      </w:r>
    </w:p>
    <w:p>
      <w:pPr>
        <w:numPr>
          <w:ilvl w:val="0"/>
          <w:numId w:val="1004"/>
        </w:numPr>
      </w:pPr>
      <w:r>
        <w:rPr>
          <w:b/>
          <w:bCs/>
        </w:rPr>
        <w:t xml:space="preserve">Hybrid:</w:t>
      </w:r>
      <w:r>
        <w:t xml:space="preserve"> </w:t>
      </w:r>
      <w:r>
        <w:t xml:space="preserve">Common approach: most tenants share a DB, but very large ones are moved to their own database. E.g. Slack and Zendesk will dedicate shards/DBs to the biggest clients. We can adopt this: e.g. clinics over a size or traffic threshold move to a standalone Postgres database or cluster. Our application should allow routing certain tenant IDs to a different connection.</w:t>
      </w:r>
    </w:p>
    <w:p>
      <w:pPr>
        <w:pStyle w:val="FirstParagraph"/>
      </w:pPr>
      <w:r>
        <w:t xml:space="preserve">As noted, Salesforce and Slack operate with one DB and use partitioning/sharding internally</w:t>
      </w:r>
      <w:hyperlink r:id="rId21">
        <w:r>
          <w:rPr>
            <w:rStyle w:val="Hyperlink"/>
          </w:rPr>
          <w:t xml:space="preserve">[1]</w:t>
        </w:r>
      </w:hyperlink>
      <w:hyperlink r:id="rId36">
        <w:r>
          <w:rPr>
            <w:rStyle w:val="Hyperlink"/>
          </w:rPr>
          <w:t xml:space="preserve">[14]</w:t>
        </w:r>
      </w:hyperlink>
      <w:r>
        <w:t xml:space="preserve">. Zendesk shards across many DBs but still uses shared deployments for tenants</w:t>
      </w:r>
      <w:hyperlink r:id="rId24">
        <w:r>
          <w:rPr>
            <w:rStyle w:val="Hyperlink"/>
          </w:rPr>
          <w:t xml:space="preserve">[4]</w:t>
        </w:r>
      </w:hyperlink>
      <w:r>
        <w:t xml:space="preserve">. We’ll mimic these patterns: start with one Postgres (Supabase-managed), then introduce sharding (via Citus or Cockroach, or manual schemas) once a single instance nears capacity (~100M+ rows or connection limits).</w:t>
      </w:r>
    </w:p>
    <w:bookmarkEnd w:id="40"/>
    <w:bookmarkStart w:id="42" w:name="row-level-security-rls"/>
    <w:p>
      <w:pPr>
        <w:pStyle w:val="Heading2"/>
      </w:pPr>
      <w:r>
        <w:t xml:space="preserve">Row-Level Security (RLS)</w:t>
      </w:r>
    </w:p>
    <w:p>
      <w:pPr>
        <w:pStyle w:val="FirstParagraph"/>
      </w:pPr>
      <w:r>
        <w:t xml:space="preserve">We will use</w:t>
      </w:r>
      <w:r>
        <w:t xml:space="preserve"> </w:t>
      </w:r>
      <w:r>
        <w:rPr>
          <w:b/>
          <w:bCs/>
        </w:rPr>
        <w:t xml:space="preserve">PostgreSQL RLS</w:t>
      </w:r>
      <w:r>
        <w:t xml:space="preserve"> </w:t>
      </w:r>
      <w:r>
        <w:t xml:space="preserve">(supported out of the box by Supabase) to</w:t>
      </w:r>
      <w:r>
        <w:t xml:space="preserve"> </w:t>
      </w:r>
      <w:r>
        <w:rPr>
          <w:i/>
          <w:iCs/>
        </w:rPr>
        <w:t xml:space="preserve">guarantee</w:t>
      </w:r>
      <w:r>
        <w:t xml:space="preserve"> </w:t>
      </w:r>
      <w:r>
        <w:t xml:space="preserve">tenant isolation at the DB layer. Each table will have a policy like:</w:t>
      </w:r>
    </w:p>
    <w:p>
      <w:pPr>
        <w:pStyle w:val="SourceCode"/>
      </w:pPr>
      <w:r>
        <w:rPr>
          <w:rStyle w:val="VerbatimChar"/>
        </w:rPr>
        <w:t xml:space="preserve">ALTER TABLE patients ENABLE ROW LEVEL SECURITY;</w:t>
      </w:r>
      <w:r>
        <w:br/>
      </w:r>
      <w:r>
        <w:rPr>
          <w:rStyle w:val="VerbatimChar"/>
        </w:rPr>
        <w:t xml:space="preserve">CREATE POLICY tenant_isolation ON patients</w:t>
      </w:r>
      <w:r>
        <w:br/>
      </w:r>
      <w:r>
        <w:rPr>
          <w:rStyle w:val="VerbatimChar"/>
        </w:rPr>
        <w:t xml:space="preserve">  FOR ALL</w:t>
      </w:r>
      <w:r>
        <w:br/>
      </w:r>
      <w:r>
        <w:rPr>
          <w:rStyle w:val="VerbatimChar"/>
        </w:rPr>
        <w:t xml:space="preserve">  USING (clinic_id = (auth.jwt() -&gt;&gt; 'clinic_id')::uuid);</w:t>
      </w:r>
    </w:p>
    <w:p>
      <w:pPr>
        <w:pStyle w:val="FirstParagraph"/>
      </w:pPr>
      <w:r>
        <w:t xml:space="preserve">This means every</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w:t>
      </w:r>
      <w:r>
        <w:t xml:space="preserve">automatically filters on the current tenant’s</w:t>
      </w:r>
      <w:r>
        <w:t xml:space="preserve"> </w:t>
      </w:r>
      <w:r>
        <w:rPr>
          <w:rStyle w:val="VerbatimChar"/>
        </w:rPr>
        <w:t xml:space="preserve">clinic_id</w:t>
      </w:r>
      <w:r>
        <w:t xml:space="preserve">. (Without RLS, a missing</w:t>
      </w:r>
      <w:r>
        <w:t xml:space="preserve"> </w:t>
      </w:r>
      <w:r>
        <w:rPr>
          <w:rStyle w:val="VerbatimChar"/>
        </w:rPr>
        <w:t xml:space="preserve">WHERE</w:t>
      </w:r>
      <w:r>
        <w:t xml:space="preserve"> </w:t>
      </w:r>
      <w:r>
        <w:t xml:space="preserve">clause could expose data; with RLS, the DB itself enforces the restriction</w:t>
      </w:r>
      <w:hyperlink r:id="rId23">
        <w:r>
          <w:rPr>
            <w:rStyle w:val="Hyperlink"/>
          </w:rPr>
          <w:t xml:space="preserve">[3]</w:t>
        </w:r>
      </w:hyperlink>
      <w:r>
        <w:t xml:space="preserve">.) MakerKit’s guidelines stress:</w:t>
      </w:r>
      <w:r>
        <w:t xml:space="preserve"> </w:t>
      </w:r>
      <w:r>
        <w:rPr>
          <w:i/>
          <w:iCs/>
        </w:rPr>
        <w:t xml:space="preserve">“enable RLS on every table… No exceptions”</w:t>
      </w:r>
      <w:hyperlink r:id="rId41">
        <w:r>
          <w:rPr>
            <w:rStyle w:val="Hyperlink"/>
          </w:rPr>
          <w:t xml:space="preserve">[17]</w:t>
        </w:r>
      </w:hyperlink>
      <w:r>
        <w:t xml:space="preserve">. We will embed</w:t>
      </w:r>
      <w:r>
        <w:t xml:space="preserve"> </w:t>
      </w:r>
      <w:r>
        <w:rPr>
          <w:rStyle w:val="VerbatimChar"/>
        </w:rPr>
        <w:t xml:space="preserve">clinic_id</w:t>
      </w:r>
      <w:r>
        <w:t xml:space="preserve"> </w:t>
      </w:r>
      <w:r>
        <w:t xml:space="preserve">in the user’s JWT (via Supabase Auth custom claims), so that</w:t>
      </w:r>
      <w:r>
        <w:t xml:space="preserve"> </w:t>
      </w:r>
      <w:r>
        <w:rPr>
          <w:rStyle w:val="VerbatimChar"/>
        </w:rPr>
        <w:t xml:space="preserve">auth.jwt()</w:t>
      </w:r>
      <w:r>
        <w:t xml:space="preserve"> </w:t>
      </w:r>
      <w:r>
        <w:t xml:space="preserve">yields the current tenant. If a developer forgets a</w:t>
      </w:r>
      <w:r>
        <w:t xml:space="preserve"> </w:t>
      </w:r>
      <w:r>
        <w:rPr>
          <w:rStyle w:val="VerbatimChar"/>
        </w:rPr>
        <w:t xml:space="preserve">clinic_id</w:t>
      </w:r>
      <w:r>
        <w:t xml:space="preserve"> </w:t>
      </w:r>
      <w:r>
        <w:t xml:space="preserve">condition, the RLS policy still prevents leakage. Only the Supabase</w:t>
      </w:r>
      <w:r>
        <w:t xml:space="preserve"> </w:t>
      </w:r>
      <w:r>
        <w:rPr>
          <w:i/>
          <w:iCs/>
        </w:rPr>
        <w:t xml:space="preserve">service_role</w:t>
      </w:r>
      <w:r>
        <w:t xml:space="preserve"> </w:t>
      </w:r>
      <w:r>
        <w:t xml:space="preserve">key can bypass these checks, and it will not be used in regular code.</w:t>
      </w:r>
    </w:p>
    <w:p>
      <w:pPr>
        <w:pStyle w:val="BodyText"/>
      </w:pPr>
      <w:r>
        <w:t xml:space="preserve">Supabase RLS performance tips: since policies act as extra</w:t>
      </w:r>
      <w:r>
        <w:t xml:space="preserve"> </w:t>
      </w:r>
      <w:r>
        <w:rPr>
          <w:rStyle w:val="VerbatimChar"/>
        </w:rPr>
        <w:t xml:space="preserve">WHERE</w:t>
      </w:r>
      <w:r>
        <w:t xml:space="preserve"> </w:t>
      </w:r>
      <w:r>
        <w:t xml:space="preserve">clauses, we must index the</w:t>
      </w:r>
      <w:r>
        <w:t xml:space="preserve"> </w:t>
      </w:r>
      <w:r>
        <w:rPr>
          <w:rStyle w:val="VerbatimChar"/>
        </w:rPr>
        <w:t xml:space="preserve">clinic_id</w:t>
      </w:r>
      <w:r>
        <w:t xml:space="preserve"> </w:t>
      </w:r>
      <w:r>
        <w:t xml:space="preserve">column on every table</w:t>
      </w:r>
      <w:hyperlink r:id="rId25">
        <w:r>
          <w:rPr>
            <w:rStyle w:val="Hyperlink"/>
          </w:rPr>
          <w:t xml:space="preserve">[5]</w:t>
        </w:r>
      </w:hyperlink>
      <w:r>
        <w:t xml:space="preserve">. This ensures lookups remain fast even on millions of rows. We will also add</w:t>
      </w:r>
      <w:r>
        <w:t xml:space="preserve"> </w:t>
      </w:r>
      <w:r>
        <w:rPr>
          <w:rStyle w:val="VerbatimChar"/>
        </w:rPr>
        <w:t xml:space="preserve">CHECK (clinic_id IS NOT NULL)</w:t>
      </w:r>
      <w:r>
        <w:t xml:space="preserve"> </w:t>
      </w:r>
      <w:r>
        <w:t xml:space="preserve">constraints so that no row can accidentally have a null tenant ID. All RLS policies will be tested via automated suites (e.g. tests that try to query cross-tenant data and must fail).</w:t>
      </w:r>
    </w:p>
    <w:bookmarkEnd w:id="42"/>
    <w:bookmarkStart w:id="43" w:name="tenant-identification-routing"/>
    <w:p>
      <w:pPr>
        <w:pStyle w:val="Heading2"/>
      </w:pPr>
      <w:r>
        <w:t xml:space="preserve">Tenant Identification &amp; Routing</w:t>
      </w:r>
    </w:p>
    <w:p>
      <w:pPr>
        <w:pStyle w:val="FirstParagraph"/>
      </w:pPr>
      <w:r>
        <w:t xml:space="preserve">We will use</w:t>
      </w:r>
      <w:r>
        <w:t xml:space="preserve"> </w:t>
      </w:r>
      <w:r>
        <w:rPr>
          <w:b/>
          <w:bCs/>
        </w:rPr>
        <w:t xml:space="preserve">subdomain-based tenancy</w:t>
      </w:r>
      <w:r>
        <w:t xml:space="preserve">, e.g.</w:t>
      </w:r>
      <w:r>
        <w:t xml:space="preserve"> </w:t>
      </w:r>
      <w:r>
        <w:rPr>
          <w:rStyle w:val="VerbatimChar"/>
        </w:rPr>
        <w:t xml:space="preserve">clinic-name.yourplatform.com</w:t>
      </w:r>
      <w:r>
        <w:t xml:space="preserve"> </w:t>
      </w:r>
      <w:r>
        <w:t xml:space="preserve">for each clinic. This makes branding natural (clinics get a vanity URL) and scopes cookies per tenant. Implementation details:</w:t>
      </w:r>
      <w:r>
        <w:t xml:space="preserve"> </w:t>
      </w:r>
      <w:r>
        <w:t xml:space="preserve">-</w:t>
      </w:r>
      <w:r>
        <w:t xml:space="preserve"> </w:t>
      </w:r>
      <w:r>
        <w:rPr>
          <w:b/>
          <w:bCs/>
        </w:rPr>
        <w:t xml:space="preserve">DNS:</w:t>
      </w:r>
      <w:r>
        <w:t xml:space="preserve"> </w:t>
      </w:r>
      <w:r>
        <w:t xml:space="preserve">A wildcard CNAME (</w:t>
      </w:r>
      <w:r>
        <w:rPr>
          <w:rStyle w:val="VerbatimChar"/>
        </w:rPr>
        <w:t xml:space="preserve">*.yourplatform.com</w:t>
      </w:r>
      <w:r>
        <w:t xml:space="preserve">) will point to our Vercel deployment. Vercel supports wildcard domains, so new clinics get auto-routed.</w:t>
      </w:r>
      <w:r>
        <w:t xml:space="preserve"> </w:t>
      </w:r>
      <w:r>
        <w:t xml:space="preserve">-</w:t>
      </w:r>
      <w:r>
        <w:t xml:space="preserve"> </w:t>
      </w:r>
      <w:r>
        <w:rPr>
          <w:b/>
          <w:bCs/>
        </w:rPr>
        <w:t xml:space="preserve">SSL:</w:t>
      </w:r>
      <w:r>
        <w:t xml:space="preserve"> </w:t>
      </w:r>
      <w:r>
        <w:t xml:space="preserve">Use a wildcard TLS certificate (or Let’s Encrypt on the wildcard). All subdomains are covered by the cert, so clinics get HTTPS automatically.</w:t>
      </w:r>
      <w:r>
        <w:t xml:space="preserve"> </w:t>
      </w:r>
      <w:r>
        <w:t xml:space="preserve">-</w:t>
      </w:r>
      <w:r>
        <w:t xml:space="preserve"> </w:t>
      </w:r>
      <w:r>
        <w:rPr>
          <w:b/>
          <w:bCs/>
        </w:rPr>
        <w:t xml:space="preserve">Tenant lookup:</w:t>
      </w:r>
      <w:r>
        <w:t xml:space="preserve"> </w:t>
      </w:r>
      <w:r>
        <w:t xml:space="preserve">In Vercel Edge Middleware (or our API handlers), we parse the</w:t>
      </w:r>
      <w:r>
        <w:t xml:space="preserve"> </w:t>
      </w:r>
      <w:r>
        <w:rPr>
          <w:rStyle w:val="VerbatimChar"/>
        </w:rPr>
        <w:t xml:space="preserve">Host</w:t>
      </w:r>
      <w:r>
        <w:t xml:space="preserve"> </w:t>
      </w:r>
      <w:r>
        <w:t xml:space="preserve">header to extract</w:t>
      </w:r>
      <w:r>
        <w:t xml:space="preserve"> </w:t>
      </w:r>
      <w:r>
        <w:rPr>
          <w:rStyle w:val="VerbatimChar"/>
        </w:rPr>
        <w:t xml:space="preserve">clinic-name</w:t>
      </w:r>
      <w:r>
        <w:t xml:space="preserve">. This maps to a</w:t>
      </w:r>
      <w:r>
        <w:t xml:space="preserve"> </w:t>
      </w:r>
      <w:r>
        <w:rPr>
          <w:rStyle w:val="VerbatimChar"/>
        </w:rPr>
        <w:t xml:space="preserve">clinic_id</w:t>
      </w:r>
      <w:r>
        <w:t xml:space="preserve"> </w:t>
      </w:r>
      <w:r>
        <w:t xml:space="preserve">in our</w:t>
      </w:r>
      <w:r>
        <w:t xml:space="preserve"> </w:t>
      </w:r>
      <w:r>
        <w:rPr>
          <w:rStyle w:val="VerbatimChar"/>
        </w:rPr>
        <w:t xml:space="preserve">clinics</w:t>
      </w:r>
      <w:r>
        <w:t xml:space="preserve"> </w:t>
      </w:r>
      <w:r>
        <w:t xml:space="preserve">table. We then set</w:t>
      </w:r>
      <w:r>
        <w:t xml:space="preserve"> </w:t>
      </w:r>
      <w:r>
        <w:rPr>
          <w:rStyle w:val="VerbatimChar"/>
        </w:rPr>
        <w:t xml:space="preserve">request.headers['x-tenant-id']</w:t>
      </w:r>
      <w:r>
        <w:t xml:space="preserve"> </w:t>
      </w:r>
      <w:r>
        <w:t xml:space="preserve">or context for handlers. In Next.js/Vercel one would use middleware, but with our Vite/React on Vercel functions, we’ll write a middleware shim to inject the tenant.</w:t>
      </w:r>
      <w:r>
        <w:t xml:space="preserve"> </w:t>
      </w:r>
      <w:r>
        <w:t xml:space="preserve">-</w:t>
      </w:r>
      <w:r>
        <w:t xml:space="preserve"> </w:t>
      </w:r>
      <w:r>
        <w:rPr>
          <w:b/>
          <w:bCs/>
        </w:rPr>
        <w:t xml:space="preserve">Custom domains:</w:t>
      </w:r>
      <w:r>
        <w:t xml:space="preserve"> </w:t>
      </w:r>
      <w:r>
        <w:t xml:space="preserve">For clinics with their own domain (e.g.</w:t>
      </w:r>
      <w:r>
        <w:t xml:space="preserve"> </w:t>
      </w:r>
      <w:r>
        <w:rPr>
          <w:rStyle w:val="VerbatimChar"/>
        </w:rPr>
        <w:t xml:space="preserve">smiledentistry.com</w:t>
      </w:r>
      <w:r>
        <w:t xml:space="preserve"> </w:t>
      </w:r>
      <w:r>
        <w:t xml:space="preserve">CNAME’d to our platform), we verify ownership and issue a separate SSL. Vercel supports APEX and CNAMES with cert management. We’ll maintain a table of custom domains linked to</w:t>
      </w:r>
      <w:r>
        <w:t xml:space="preserve"> </w:t>
      </w:r>
      <w:r>
        <w:rPr>
          <w:rStyle w:val="VerbatimChar"/>
        </w:rPr>
        <w:t xml:space="preserve">clinic_id</w:t>
      </w:r>
      <w:r>
        <w:t xml:space="preserve">.</w:t>
      </w:r>
      <w:r>
        <w:t xml:space="preserve"> </w:t>
      </w:r>
      <w:r>
        <w:t xml:space="preserve">-</w:t>
      </w:r>
      <w:r>
        <w:t xml:space="preserve"> </w:t>
      </w:r>
      <w:r>
        <w:rPr>
          <w:b/>
          <w:bCs/>
        </w:rPr>
        <w:t xml:space="preserve">Alternate approaches:</w:t>
      </w:r>
      <w:r>
        <w:t xml:space="preserve"> </w:t>
      </w:r>
      <w:r>
        <w:t xml:space="preserve">Path-based tenancy (e.g.</w:t>
      </w:r>
      <w:r>
        <w:t xml:space="preserve"> </w:t>
      </w:r>
      <w:r>
        <w:rPr>
          <w:rStyle w:val="VerbatimChar"/>
        </w:rPr>
        <w:t xml:space="preserve">/clinic/istanbul</w:t>
      </w:r>
      <w:r>
        <w:t xml:space="preserve">) is simpler to implement but poorly suited for SEO and cookies. Header-based tenancy (e.g. an</w:t>
      </w:r>
      <w:r>
        <w:t xml:space="preserve"> </w:t>
      </w:r>
      <w:r>
        <w:rPr>
          <w:rStyle w:val="VerbatimChar"/>
        </w:rPr>
        <w:t xml:space="preserve">X-Tenant-ID</w:t>
      </w:r>
      <w:r>
        <w:t xml:space="preserve"> </w:t>
      </w:r>
      <w:r>
        <w:t xml:space="preserve">header) is brittle (mobile apps must supply it). We choose subdomain+JWT claim for clarity.</w:t>
      </w:r>
    </w:p>
    <w:bookmarkEnd w:id="43"/>
    <w:bookmarkStart w:id="44" w:name="tenant-customization"/>
    <w:p>
      <w:pPr>
        <w:pStyle w:val="Heading2"/>
      </w:pPr>
      <w:r>
        <w:t xml:space="preserve">Tenant Customization</w:t>
      </w:r>
    </w:p>
    <w:p>
      <w:pPr>
        <w:pStyle w:val="FirstParagraph"/>
      </w:pPr>
      <w:r>
        <w:rPr>
          <w:b/>
          <w:bCs/>
        </w:rPr>
        <w:t xml:space="preserve">UI/Theming:</w:t>
      </w:r>
      <w:r>
        <w:t xml:space="preserve"> </w:t>
      </w:r>
      <w:r>
        <w:t xml:space="preserve">We will store per-clinic branding in a</w:t>
      </w:r>
      <w:r>
        <w:t xml:space="preserve"> </w:t>
      </w:r>
      <w:r>
        <w:rPr>
          <w:rStyle w:val="VerbatimChar"/>
        </w:rPr>
        <w:t xml:space="preserve">clinic_themes</w:t>
      </w:r>
      <w:r>
        <w:t xml:space="preserve"> </w:t>
      </w:r>
      <w:r>
        <w:t xml:space="preserve">table (colors, logo URL, etc.). At login, we fetch these settings and inject CSS variables or config into the React app. For example, CSS like</w:t>
      </w:r>
      <w:r>
        <w:t xml:space="preserve"> </w:t>
      </w:r>
      <w:r>
        <w:rPr>
          <w:rStyle w:val="VerbatimChar"/>
        </w:rPr>
        <w:t xml:space="preserve">--primary-color: #1E40AF;</w:t>
      </w:r>
      <w:r>
        <w:t xml:space="preserve"> </w:t>
      </w:r>
      <w:r>
        <w:t xml:space="preserve">can be set globally based on</w:t>
      </w:r>
      <w:r>
        <w:t xml:space="preserve"> </w:t>
      </w:r>
      <w:r>
        <w:rPr>
          <w:rStyle w:val="VerbatimChar"/>
        </w:rPr>
        <w:t xml:space="preserve">clinic_id</w:t>
      </w:r>
      <w:r>
        <w:t xml:space="preserve">. Logos will be stored in Supabase Storage in paths like</w:t>
      </w:r>
      <w:r>
        <w:t xml:space="preserve"> </w:t>
      </w:r>
      <w:r>
        <w:rPr>
          <w:rStyle w:val="VerbatimChar"/>
        </w:rPr>
        <w:t xml:space="preserve">/clinics/{clinic_id}/logo.png</w:t>
      </w:r>
      <w:r>
        <w:t xml:space="preserve">. A CDN can serve these quickly. Custom CSS snippets (if any) will be sanitized and injected carefully.</w:t>
      </w:r>
    </w:p>
    <w:p>
      <w:pPr>
        <w:pStyle w:val="BodyText"/>
      </w:pPr>
      <w:r>
        <w:rPr>
          <w:b/>
          <w:bCs/>
        </w:rPr>
        <w:t xml:space="preserve">Data Schema:</w:t>
      </w:r>
      <w:r>
        <w:t xml:space="preserve"> </w:t>
      </w:r>
      <w:r>
        <w:t xml:space="preserve">For clinic-specific fields (e.g. Clinic A’s custom patient data vs Clinic B), we recommend a flexible schema: use a JSONB column for “custom fields” on each record. e.g.</w:t>
      </w:r>
      <w:r>
        <w:t xml:space="preserve"> </w:t>
      </w:r>
      <w:r>
        <w:rPr>
          <w:rStyle w:val="VerbatimChar"/>
        </w:rPr>
        <w:t xml:space="preserve">patients.custom_data JSONB</w:t>
      </w:r>
      <w:r>
        <w:t xml:space="preserve">. Clinic-specific form fields are stored as JSON here. This avoids endless ALTER TABLEs. If a field becomes common to all clinics, we can later promote it to a real column via migration. Most SaaS (including Salesforce) use either JSONB or metadata tables for custom fields. (Salesforce’s metadata-driven design</w:t>
      </w:r>
      <w:hyperlink r:id="rId21">
        <w:r>
          <w:rPr>
            <w:rStyle w:val="Hyperlink"/>
          </w:rPr>
          <w:t xml:space="preserve">[1]</w:t>
        </w:r>
      </w:hyperlink>
      <w:r>
        <w:t xml:space="preserve"> </w:t>
      </w:r>
      <w:r>
        <w:t xml:space="preserve">is one extreme; JSONB is simpler for us.) We will index common JSONB keys if needed (GIN indexes).</w:t>
      </w:r>
    </w:p>
    <w:p>
      <w:pPr>
        <w:pStyle w:val="BodyText"/>
      </w:pPr>
      <w:r>
        <w:t xml:space="preserve">Alternatively, a metadata table approach could track “custom fields definition” and “field values” (similar to Salesforce custom objects). This is more complex; we’ll start with JSONB.</w:t>
      </w:r>
    </w:p>
    <w:bookmarkEnd w:id="44"/>
    <w:bookmarkStart w:id="45" w:name="performance-isolation-scaling"/>
    <w:p>
      <w:pPr>
        <w:pStyle w:val="Heading2"/>
      </w:pPr>
      <w:r>
        <w:t xml:space="preserve">Performance Isolation &amp; Scaling</w:t>
      </w:r>
    </w:p>
    <w:p>
      <w:pPr>
        <w:pStyle w:val="Compact"/>
        <w:numPr>
          <w:ilvl w:val="0"/>
          <w:numId w:val="1005"/>
        </w:numPr>
      </w:pPr>
      <w:r>
        <w:rPr>
          <w:b/>
          <w:bCs/>
        </w:rPr>
        <w:t xml:space="preserve">Connection Pooling:</w:t>
      </w:r>
      <w:r>
        <w:t xml:space="preserve"> </w:t>
      </w:r>
      <w:r>
        <w:t xml:space="preserve">We will use PgBouncer (Supabase-managed) with enough max connections. Because many clients share one DB, we’ll lean on Supabase’s pooling and our own service code should limit idle clients. Each serverless function should NOT open too many DB connections; use a global pool instance reused across invocations (in Node).</w:t>
      </w:r>
    </w:p>
    <w:p>
      <w:pPr>
        <w:pStyle w:val="Compact"/>
        <w:numPr>
          <w:ilvl w:val="0"/>
          <w:numId w:val="1005"/>
        </w:numPr>
      </w:pPr>
      <w:r>
        <w:rPr>
          <w:b/>
          <w:bCs/>
        </w:rPr>
        <w:t xml:space="preserve">Rate Limiting:</w:t>
      </w:r>
      <w:r>
        <w:t xml:space="preserve"> </w:t>
      </w:r>
      <w:r>
        <w:t xml:space="preserve">We’ll apply per-clinic rate limits on API (e.g. 1000 req/hour by default) using a Redis or in-memory store keyed by tenant. This prevents one clinic from DoS’ing the system.</w:t>
      </w:r>
    </w:p>
    <w:p>
      <w:pPr>
        <w:pStyle w:val="Compact"/>
        <w:numPr>
          <w:ilvl w:val="0"/>
          <w:numId w:val="1005"/>
        </w:numPr>
      </w:pPr>
      <w:r>
        <w:rPr>
          <w:b/>
          <w:bCs/>
        </w:rPr>
        <w:t xml:space="preserve">Async Jobs:</w:t>
      </w:r>
      <w:r>
        <w:t xml:space="preserve"> </w:t>
      </w:r>
      <w:r>
        <w:t xml:space="preserve">If clinics enqueue jobs (e.g. PDF generation, X-ray processing), use separate queues per clinic or tag jobs with clinic_id. Workers can prioritize by clinic or do round-robin.</w:t>
      </w:r>
    </w:p>
    <w:p>
      <w:pPr>
        <w:pStyle w:val="Compact"/>
        <w:numPr>
          <w:ilvl w:val="0"/>
          <w:numId w:val="1005"/>
        </w:numPr>
      </w:pPr>
      <w:r>
        <w:rPr>
          <w:b/>
          <w:bCs/>
        </w:rPr>
        <w:t xml:space="preserve">Sharding (Future):</w:t>
      </w:r>
      <w:r>
        <w:t xml:space="preserve"> </w:t>
      </w:r>
      <w:r>
        <w:t xml:space="preserve">When we reach ~100+ clinics with heavy load, we’ll partition data by clinic. Options:</w:t>
      </w:r>
    </w:p>
    <w:p>
      <w:pPr>
        <w:pStyle w:val="Compact"/>
        <w:numPr>
          <w:ilvl w:val="0"/>
          <w:numId w:val="1005"/>
        </w:numPr>
      </w:pPr>
      <w:r>
        <w:rPr>
          <w:i/>
          <w:iCs/>
        </w:rPr>
        <w:t xml:space="preserve">Application-level shards:</w:t>
      </w:r>
      <w:r>
        <w:t xml:space="preserve"> </w:t>
      </w:r>
      <w:r>
        <w:t xml:space="preserve">Maintain a routing table: clinic hash → DB shard. This can be manual or via Citus. For example, clinics A–M in shard1, N–Z in shard2. Slack’s Vitess approach and Zendesk’s pods inspire this.</w:t>
      </w:r>
    </w:p>
    <w:p>
      <w:pPr>
        <w:pStyle w:val="Compact"/>
        <w:numPr>
          <w:ilvl w:val="0"/>
          <w:numId w:val="1005"/>
        </w:numPr>
      </w:pPr>
      <w:r>
        <w:rPr>
          <w:i/>
          <w:iCs/>
        </w:rPr>
        <w:t xml:space="preserve">Geographic shards:</w:t>
      </w:r>
      <w:r>
        <w:t xml:space="preserve"> </w:t>
      </w:r>
      <w:r>
        <w:t xml:space="preserve">For GDPR, we may split US vs EU clinics into different Supabase projects (Frankfurt vs Oregon).</w:t>
      </w:r>
    </w:p>
    <w:p>
      <w:pPr>
        <w:numPr>
          <w:ilvl w:val="0"/>
          <w:numId w:val="1005"/>
        </w:numPr>
      </w:pPr>
      <w:r>
        <w:t xml:space="preserve">We will design our data access layer to be abstracted so that in the future we can route queries to different connections based on</w:t>
      </w:r>
      <w:r>
        <w:t xml:space="preserve"> </w:t>
      </w:r>
      <w:r>
        <w:rPr>
          <w:rStyle w:val="VerbatimChar"/>
        </w:rPr>
        <w:t xml:space="preserve">clinic_id</w:t>
      </w:r>
      <w:r>
        <w:t xml:space="preserve">.</w:t>
      </w:r>
    </w:p>
    <w:p>
      <w:pPr>
        <w:numPr>
          <w:ilvl w:val="0"/>
          <w:numId w:val="1005"/>
        </w:numPr>
      </w:pPr>
      <w:r>
        <w:rPr>
          <w:b/>
          <w:bCs/>
        </w:rPr>
        <w:t xml:space="preserve">Read Replicas:</w:t>
      </w:r>
      <w:r>
        <w:t xml:space="preserve"> </w:t>
      </w:r>
      <w:r>
        <w:t xml:space="preserve">We can use Supabase’s read replicas for reporting/analytics, ensuring operational queries (inserts/updates) don’t contend with heavy reads.</w:t>
      </w:r>
    </w:p>
    <w:p>
      <w:pPr>
        <w:numPr>
          <w:ilvl w:val="0"/>
          <w:numId w:val="1005"/>
        </w:numPr>
      </w:pPr>
      <w:r>
        <w:rPr>
          <w:b/>
          <w:bCs/>
        </w:rPr>
        <w:t xml:space="preserve">Caching:</w:t>
      </w:r>
      <w:r>
        <w:t xml:space="preserve"> </w:t>
      </w:r>
      <w:r>
        <w:t xml:space="preserve">Common static data (procedure codes, country lists) will be cached in Redis by tenant (keyed with clinic_id). Clinic-specific assets (logos, PDFs) served via CDN with proper cache headers and purging on update.</w:t>
      </w:r>
    </w:p>
    <w:bookmarkEnd w:id="45"/>
    <w:bookmarkStart w:id="46" w:name="security-compliance"/>
    <w:p>
      <w:pPr>
        <w:pStyle w:val="Heading2"/>
      </w:pPr>
      <w:r>
        <w:t xml:space="preserve">Security &amp; Compliance</w:t>
      </w:r>
    </w:p>
    <w:p>
      <w:pPr>
        <w:pStyle w:val="Compact"/>
        <w:numPr>
          <w:ilvl w:val="0"/>
          <w:numId w:val="1006"/>
        </w:numPr>
      </w:pPr>
      <w:r>
        <w:rPr>
          <w:b/>
          <w:bCs/>
        </w:rPr>
        <w:t xml:space="preserve">Data Isolation:</w:t>
      </w:r>
      <w:r>
        <w:t xml:space="preserve"> </w:t>
      </w:r>
      <w:r>
        <w:t xml:space="preserve">With RLS and a</w:t>
      </w:r>
      <w:r>
        <w:t xml:space="preserve"> </w:t>
      </w:r>
      <w:r>
        <w:rPr>
          <w:rStyle w:val="VerbatimChar"/>
        </w:rPr>
        <w:t xml:space="preserve">clinic_id</w:t>
      </w:r>
      <w:r>
        <w:t xml:space="preserve"> </w:t>
      </w:r>
      <w:r>
        <w:t xml:space="preserve">NOT NULL constraint, cross-tenant data leakage becomes nearly impossible. We will enforce</w:t>
      </w:r>
      <w:r>
        <w:t xml:space="preserve"> </w:t>
      </w:r>
      <w:r>
        <w:rPr>
          <w:i/>
          <w:iCs/>
        </w:rPr>
        <w:t xml:space="preserve">peer code reviews</w:t>
      </w:r>
      <w:r>
        <w:t xml:space="preserve"> </w:t>
      </w:r>
      <w:r>
        <w:t xml:space="preserve">and lint rules (e.g. a custom ESLint rule) to ensure every SQL uses the tenant context. We will also log every query’s tenant ID (via Postgres</w:t>
      </w:r>
      <w:r>
        <w:t xml:space="preserve"> </w:t>
      </w:r>
      <w:r>
        <w:rPr>
          <w:rStyle w:val="VerbatimChar"/>
        </w:rPr>
        <w:t xml:space="preserve">log_statement</w:t>
      </w:r>
      <w:r>
        <w:t xml:space="preserve"> </w:t>
      </w:r>
      <w:r>
        <w:t xml:space="preserve">or an audit trigger). This way we can detect any accidental cross-tenant access in testing.</w:t>
      </w:r>
    </w:p>
    <w:p>
      <w:pPr>
        <w:pStyle w:val="Compact"/>
        <w:numPr>
          <w:ilvl w:val="0"/>
          <w:numId w:val="1006"/>
        </w:numPr>
      </w:pPr>
      <w:r>
        <w:rPr>
          <w:b/>
          <w:bCs/>
        </w:rPr>
        <w:t xml:space="preserve">Audit Log:</w:t>
      </w:r>
      <w:r>
        <w:t xml:space="preserve"> </w:t>
      </w:r>
      <w:r>
        <w:t xml:space="preserve">Build a lightweight audit table capturing (timestamp, user, clinic_id, table, operation) on all sensitive tables (patients, appointments, etc.). This helps track suspicious access.</w:t>
      </w:r>
    </w:p>
    <w:p>
      <w:pPr>
        <w:pStyle w:val="Compact"/>
        <w:numPr>
          <w:ilvl w:val="0"/>
          <w:numId w:val="1006"/>
        </w:numPr>
      </w:pPr>
      <w:r>
        <w:rPr>
          <w:b/>
          <w:bCs/>
        </w:rPr>
        <w:t xml:space="preserve">Pen Testing:</w:t>
      </w:r>
      <w:r>
        <w:t xml:space="preserve"> </w:t>
      </w:r>
      <w:r>
        <w:t xml:space="preserve">Before launch, perform a pen-test focused on multi-tenancy (trying to bypass RLS via SQL injection or mis-specified JWTs). Supabase’s audit logs and RLS help here.</w:t>
      </w:r>
    </w:p>
    <w:p>
      <w:pPr>
        <w:numPr>
          <w:ilvl w:val="0"/>
          <w:numId w:val="1006"/>
        </w:numPr>
      </w:pPr>
      <w:r>
        <w:rPr>
          <w:b/>
          <w:bCs/>
        </w:rPr>
        <w:t xml:space="preserve">GDPR/HIPAA:</w:t>
      </w:r>
      <w:r>
        <w:t xml:space="preserve"> </w:t>
      </w:r>
      <w:r>
        <w:t xml:space="preserve">Data residency will be by clinic region. EU clinics’ data can be stored on a Frankfurt Postgres instance, US clinics on an Oregon one. Supabase supports multi-region projects. We’ll include</w:t>
      </w:r>
      <w:r>
        <w:t xml:space="preserve"> </w:t>
      </w:r>
      <w:r>
        <w:rPr>
          <w:rStyle w:val="VerbatimChar"/>
        </w:rPr>
        <w:t xml:space="preserve">region</w:t>
      </w:r>
      <w:r>
        <w:t xml:space="preserve"> </w:t>
      </w:r>
      <w:r>
        <w:t xml:space="preserve">on the clinic record and ensure queries go to the right database. All data will be encrypted at rest (managed by Supabase) and in transit (HTTPS/TLS). For highly sensitive PII (SSN, etc.), we can store them in encrypted columns (using PostgreSQL’s</w:t>
      </w:r>
      <w:r>
        <w:t xml:space="preserve"> </w:t>
      </w:r>
      <w:r>
        <w:rPr>
          <w:rStyle w:val="VerbatimChar"/>
        </w:rPr>
        <w:t xml:space="preserve">pgp_sym_encrypt</w:t>
      </w:r>
      <w:r>
        <w:t xml:space="preserve">)</w:t>
      </w:r>
      <w:hyperlink r:id="rId31">
        <w:r>
          <w:rPr>
            <w:rStyle w:val="Hyperlink"/>
          </w:rPr>
          <w:t xml:space="preserve">[10]</w:t>
        </w:r>
      </w:hyperlink>
      <w:r>
        <w:t xml:space="preserve">. Key management will use environment variables (Rotate keys in KMS and update supabase config as needed). Access controls inside the app (RBAC) will restrict what each user can do (e.g. admins vs doctors). All HIPAA-required audit fields (like access logs) will be maintained.</w:t>
      </w:r>
    </w:p>
    <w:p>
      <w:pPr>
        <w:numPr>
          <w:ilvl w:val="0"/>
          <w:numId w:val="1006"/>
        </w:numPr>
      </w:pPr>
      <w:r>
        <w:rPr>
          <w:b/>
          <w:bCs/>
        </w:rPr>
        <w:t xml:space="preserve">Backups &amp; Recovery:</w:t>
      </w:r>
      <w:r>
        <w:t xml:space="preserve"> </w:t>
      </w:r>
      <w:r>
        <w:t xml:space="preserve">We will rely on Supabase’s automatic backups and WAL. For per-tenant restore (e.g. a clinic deletes all data), we can either:</w:t>
      </w:r>
    </w:p>
    <w:p>
      <w:pPr>
        <w:pStyle w:val="Compact"/>
        <w:numPr>
          <w:ilvl w:val="0"/>
          <w:numId w:val="1006"/>
        </w:numPr>
      </w:pPr>
      <w:r>
        <w:rPr>
          <w:b/>
          <w:bCs/>
        </w:rPr>
        <w:t xml:space="preserve">Logical dumps:</w:t>
      </w:r>
      <w:r>
        <w:t xml:space="preserve"> </w:t>
      </w:r>
      <w:r>
        <w:t xml:space="preserve">Use</w:t>
      </w:r>
      <w:r>
        <w:t xml:space="preserve"> </w:t>
      </w:r>
      <w:r>
        <w:rPr>
          <w:rStyle w:val="VerbatimChar"/>
        </w:rPr>
        <w:t xml:space="preserve">pg_dump --where clinic_id=XYZ</w:t>
      </w:r>
      <w:r>
        <w:t xml:space="preserve"> </w:t>
      </w:r>
      <w:r>
        <w:t xml:space="preserve">daily, storing per-tenant SQL. This enables quick partial restores.</w:t>
      </w:r>
    </w:p>
    <w:p>
      <w:pPr>
        <w:pStyle w:val="Compact"/>
        <w:numPr>
          <w:ilvl w:val="0"/>
          <w:numId w:val="1006"/>
        </w:numPr>
      </w:pPr>
      <w:r>
        <w:rPr>
          <w:b/>
          <w:bCs/>
        </w:rPr>
        <w:t xml:space="preserve">Point-in-Time Recovery:</w:t>
      </w:r>
      <w:r>
        <w:t xml:space="preserve"> </w:t>
      </w:r>
      <w:r>
        <w:t xml:space="preserve">Supabase provides PITR; we could instantiate a new branch of the DB at a past timestamp for a clinic’s data.</w:t>
      </w:r>
    </w:p>
    <w:p>
      <w:pPr>
        <w:pStyle w:val="Compact"/>
        <w:numPr>
          <w:ilvl w:val="0"/>
          <w:numId w:val="1006"/>
        </w:numPr>
      </w:pPr>
      <w:r>
        <w:rPr>
          <w:b/>
          <w:bCs/>
        </w:rPr>
        <w:t xml:space="preserve">Soft deletes:</w:t>
      </w:r>
      <w:r>
        <w:t xml:space="preserve"> </w:t>
      </w:r>
      <w:r>
        <w:t xml:space="preserve">Initially, implement a</w:t>
      </w:r>
      <w:r>
        <w:t xml:space="preserve"> </w:t>
      </w:r>
      <w:r>
        <w:rPr>
          <w:rStyle w:val="VerbatimChar"/>
        </w:rPr>
        <w:t xml:space="preserve">deleted_at</w:t>
      </w:r>
      <w:r>
        <w:t xml:space="preserve"> </w:t>
      </w:r>
      <w:r>
        <w:t xml:space="preserve">timestamp on sensitive tables. That way “deletions” can be undeleted within 30 days. After 90 days we can purge.</w:t>
      </w:r>
    </w:p>
    <w:bookmarkEnd w:id="46"/>
    <w:bookmarkStart w:id="48" w:name="supabase-specifics"/>
    <w:p>
      <w:pPr>
        <w:pStyle w:val="Heading2"/>
      </w:pPr>
      <w:r>
        <w:t xml:space="preserve">Supabase Specifics</w:t>
      </w:r>
    </w:p>
    <w:p>
      <w:pPr>
        <w:pStyle w:val="FirstParagraph"/>
      </w:pPr>
      <w:r>
        <w:t xml:space="preserve">Supabase is our core stack: Postgres + RLS + Auth + Storage. Key points:</w:t>
      </w:r>
    </w:p>
    <w:p>
      <w:pPr>
        <w:numPr>
          <w:ilvl w:val="0"/>
          <w:numId w:val="1007"/>
        </w:numPr>
      </w:pPr>
      <w:r>
        <w:rPr>
          <w:b/>
          <w:bCs/>
        </w:rPr>
        <w:t xml:space="preserve">Auth &amp; JWT:</w:t>
      </w:r>
      <w:r>
        <w:t xml:space="preserve"> </w:t>
      </w:r>
      <w:r>
        <w:t xml:space="preserve">We'll extend Supabase Auth by setting custom claims. Each user (doctor/staff) is tied to one or more clinics. On login, the JWT payload will include</w:t>
      </w:r>
      <w:r>
        <w:t xml:space="preserve"> </w:t>
      </w:r>
      <w:r>
        <w:rPr>
          <w:rStyle w:val="VerbatimChar"/>
        </w:rPr>
        <w:t xml:space="preserve">"clinic_id"</w:t>
      </w:r>
      <w:r>
        <w:t xml:space="preserve"> </w:t>
      </w:r>
      <w:r>
        <w:t xml:space="preserve">(for single-clinic users) or a list/role for multi-clinic users. For example,</w:t>
      </w:r>
      <w:r>
        <w:t xml:space="preserve"> </w:t>
      </w:r>
      <w:r>
        <w:rPr>
          <w:rStyle w:val="VerbatimChar"/>
        </w:rPr>
        <w:t xml:space="preserve">role:admin, clinic_id: abc-uuid</w:t>
      </w:r>
      <w:r>
        <w:t xml:space="preserve">. In RLS we’ll read</w:t>
      </w:r>
      <w:r>
        <w:t xml:space="preserve"> </w:t>
      </w:r>
      <w:r>
        <w:rPr>
          <w:rStyle w:val="VerbatimChar"/>
        </w:rPr>
        <w:t xml:space="preserve">auth.jwt() -&gt;&gt; 'clinic_id'</w:t>
      </w:r>
      <w:r>
        <w:t xml:space="preserve">. MakerKit warns against putting authorization data in</w:t>
      </w:r>
      <w:r>
        <w:t xml:space="preserve"> </w:t>
      </w:r>
      <w:r>
        <w:rPr>
          <w:rStyle w:val="VerbatimChar"/>
        </w:rPr>
        <w:t xml:space="preserve">user_metadata</w:t>
      </w:r>
      <w:r>
        <w:t xml:space="preserve"> </w:t>
      </w:r>
      <w:r>
        <w:t xml:space="preserve">(it can be user-editable), so we’ll use</w:t>
      </w:r>
      <w:r>
        <w:t xml:space="preserve"> </w:t>
      </w:r>
      <w:r>
        <w:rPr>
          <w:rStyle w:val="VerbatimChar"/>
        </w:rPr>
        <w:t xml:space="preserve">app_metadata</w:t>
      </w:r>
      <w:r>
        <w:t xml:space="preserve"> </w:t>
      </w:r>
      <w:r>
        <w:t xml:space="preserve">or the recommended custom claims path</w:t>
      </w:r>
      <w:hyperlink r:id="rId47">
        <w:r>
          <w:rPr>
            <w:rStyle w:val="Hyperlink"/>
          </w:rPr>
          <w:t xml:space="preserve">[18]</w:t>
        </w:r>
      </w:hyperlink>
      <w:r>
        <w:t xml:space="preserve">. We may store user–clinic mapping in a join table and look it up via a policy or use Postgres Row-Level Permissions (RLS) plus</w:t>
      </w:r>
      <w:r>
        <w:t xml:space="preserve"> </w:t>
      </w:r>
      <w:r>
        <w:rPr>
          <w:rStyle w:val="VerbatimChar"/>
        </w:rPr>
        <w:t xml:space="preserve">auth.uid()</w:t>
      </w:r>
      <w:r>
        <w:t xml:space="preserve">.</w:t>
      </w:r>
    </w:p>
    <w:p>
      <w:pPr>
        <w:numPr>
          <w:ilvl w:val="0"/>
          <w:numId w:val="1007"/>
        </w:numPr>
      </w:pPr>
      <w:r>
        <w:rPr>
          <w:b/>
          <w:bCs/>
        </w:rPr>
        <w:t xml:space="preserve">Supabase Policies:</w:t>
      </w:r>
      <w:r>
        <w:t xml:space="preserve"> </w:t>
      </w:r>
      <w:r>
        <w:t xml:space="preserve">Example policy from Slack’s style:</w:t>
      </w:r>
      <w:r>
        <w:br/>
      </w:r>
    </w:p>
    <w:p>
      <w:pPr>
        <w:pStyle w:val="SourceCode"/>
        <w:numPr>
          <w:ilvl w:val="0"/>
          <w:numId w:val="1000"/>
        </w:numPr>
      </w:pPr>
      <w:r>
        <w:rPr>
          <w:rStyle w:val="VerbatimChar"/>
        </w:rPr>
        <w:t xml:space="preserve">CREATE POLICY clinic_isolation</w:t>
      </w:r>
      <w:r>
        <w:br/>
      </w:r>
      <w:r>
        <w:rPr>
          <w:rStyle w:val="VerbatimChar"/>
        </w:rPr>
        <w:t xml:space="preserve">  ON patients</w:t>
      </w:r>
      <w:r>
        <w:br/>
      </w:r>
      <w:r>
        <w:rPr>
          <w:rStyle w:val="VerbatimChar"/>
        </w:rPr>
        <w:t xml:space="preserve">  FOR SELECT</w:t>
      </w:r>
      <w:r>
        <w:br/>
      </w:r>
      <w:r>
        <w:rPr>
          <w:rStyle w:val="VerbatimChar"/>
        </w:rPr>
        <w:t xml:space="preserve">  USING (clinic_id = (auth.jwt()-&gt;&gt;'clinic_id')::uuid);</w:t>
      </w:r>
    </w:p>
    <w:p>
      <w:pPr>
        <w:numPr>
          <w:ilvl w:val="0"/>
          <w:numId w:val="1000"/>
        </w:numPr>
      </w:pPr>
      <w:r>
        <w:t xml:space="preserve">MakerKit notes this imposes an implicit</w:t>
      </w:r>
      <w:r>
        <w:t xml:space="preserve"> </w:t>
      </w:r>
      <w:r>
        <w:rPr>
          <w:rStyle w:val="VerbatimChar"/>
        </w:rPr>
        <w:t xml:space="preserve">WHERE</w:t>
      </w:r>
      <w:r>
        <w:t xml:space="preserve">. We must test with</w:t>
      </w:r>
      <w:r>
        <w:t xml:space="preserve"> </w:t>
      </w:r>
      <w:r>
        <w:rPr>
          <w:rStyle w:val="VerbatimChar"/>
        </w:rPr>
        <w:t xml:space="preserve">EXPLAIN ANALYZE</w:t>
      </w:r>
      <w:r>
        <w:t xml:space="preserve"> </w:t>
      </w:r>
      <w:r>
        <w:t xml:space="preserve">to ensure it uses indexes</w:t>
      </w:r>
      <w:hyperlink r:id="rId25">
        <w:r>
          <w:rPr>
            <w:rStyle w:val="Hyperlink"/>
          </w:rPr>
          <w:t xml:space="preserve">[5]</w:t>
        </w:r>
      </w:hyperlink>
      <w:r>
        <w:t xml:space="preserve">. Supabase’s dashboard or CLI can manage these policies, and we’ll include them in our migration scripts.</w:t>
      </w:r>
    </w:p>
    <w:p>
      <w:pPr>
        <w:numPr>
          <w:ilvl w:val="0"/>
          <w:numId w:val="1007"/>
        </w:numPr>
      </w:pPr>
      <w:r>
        <w:rPr>
          <w:b/>
          <w:bCs/>
        </w:rPr>
        <w:t xml:space="preserve">Realtime (Supabase Realtime):</w:t>
      </w:r>
      <w:r>
        <w:t xml:space="preserve"> </w:t>
      </w:r>
      <w:r>
        <w:t xml:space="preserve">Realtime subscriptions will also respect RLS. A client can subscribe to a table (e.g. patients), but the Postgres replication slot will only send them rows matching their tenant via RLS. We should verify that by default the channel is limited by RLS context. (If not, we can subscribe to a filtered view like</w:t>
      </w:r>
      <w:r>
        <w:t xml:space="preserve"> </w:t>
      </w:r>
      <w:r>
        <w:rPr>
          <w:rStyle w:val="VerbatimChar"/>
        </w:rPr>
        <w:t xml:space="preserve">patients?select=*&amp;clinic_id=eq.x</w:t>
      </w:r>
      <w:r>
        <w:t xml:space="preserve"> </w:t>
      </w:r>
      <w:r>
        <w:t xml:space="preserve">as a safeguard.)</w:t>
      </w:r>
    </w:p>
    <w:p>
      <w:pPr>
        <w:numPr>
          <w:ilvl w:val="0"/>
          <w:numId w:val="1007"/>
        </w:numPr>
      </w:pPr>
      <w:r>
        <w:rPr>
          <w:b/>
          <w:bCs/>
        </w:rPr>
        <w:t xml:space="preserve">Storage:</w:t>
      </w:r>
      <w:r>
        <w:t xml:space="preserve"> </w:t>
      </w:r>
      <w:r>
        <w:t xml:space="preserve">We'll use one Supabase Storage bucket but prefix paths by tenant (e.g.</w:t>
      </w:r>
      <w:r>
        <w:t xml:space="preserve"> </w:t>
      </w:r>
      <w:r>
        <w:rPr>
          <w:rStyle w:val="VerbatimChar"/>
        </w:rPr>
        <w:t xml:space="preserve">clinic_{id}/...</w:t>
      </w:r>
      <w:r>
        <w:t xml:space="preserve">). Alternatively, Supabase supports multiple buckets but we prefer one for management simplicity. We’ll secure uploads with RLS by integrating storage policies or by checking</w:t>
      </w:r>
      <w:r>
        <w:t xml:space="preserve"> </w:t>
      </w:r>
      <w:r>
        <w:rPr>
          <w:rStyle w:val="VerbatimChar"/>
        </w:rPr>
        <w:t xml:space="preserve">auth.uid()</w:t>
      </w:r>
      <w:r>
        <w:t xml:space="preserve"> </w:t>
      </w:r>
      <w:r>
        <w:t xml:space="preserve">on uploads to ensure they include the right</w:t>
      </w:r>
      <w:r>
        <w:t xml:space="preserve"> </w:t>
      </w:r>
      <w:r>
        <w:rPr>
          <w:rStyle w:val="VerbatimChar"/>
        </w:rPr>
        <w:t xml:space="preserve">clinic_id</w:t>
      </w:r>
      <w:r>
        <w:t xml:space="preserve">. For example, we can use signed uploads with metadata tags.</w:t>
      </w:r>
    </w:p>
    <w:p>
      <w:pPr>
        <w:numPr>
          <w:ilvl w:val="0"/>
          <w:numId w:val="1007"/>
        </w:numPr>
      </w:pPr>
      <w:r>
        <w:rPr>
          <w:b/>
          <w:bCs/>
        </w:rPr>
        <w:t xml:space="preserve">Limits:</w:t>
      </w:r>
      <w:r>
        <w:t xml:space="preserve"> </w:t>
      </w:r>
      <w:r>
        <w:t xml:space="preserve">Supabase free tier has connection and size limits, but on paid we get a large Postgres. We’ll monitor row counts. The maximum RLS policies per table is effectively unlimited (docs show no fixed cap). Connection pooling: use Supabase’s built-in pooling or an external pgbouncer if needed.</w:t>
      </w:r>
    </w:p>
    <w:bookmarkEnd w:id="48"/>
    <w:bookmarkStart w:id="49" w:name="performance-scaling-roadmap"/>
    <w:p>
      <w:pPr>
        <w:pStyle w:val="Heading2"/>
      </w:pPr>
      <w:r>
        <w:t xml:space="preserve">Performance &amp; Scaling Roadmap</w:t>
      </w:r>
    </w:p>
    <w:p>
      <w:pPr>
        <w:pStyle w:val="FirstParagraph"/>
      </w:pPr>
      <w:r>
        <w:rPr>
          <w:b/>
          <w:bCs/>
        </w:rPr>
        <w:t xml:space="preserve">Stage 1 (1–10 clinics):</w:t>
      </w:r>
      <w:r>
        <w:t xml:space="preserve"> </w:t>
      </w:r>
      <w:r>
        <w:t xml:space="preserve">Single Postgres instance on Supabase. All tenants share DB. RLS in place. Onboarding automated via scripts.</w:t>
      </w:r>
    </w:p>
    <w:p>
      <w:pPr>
        <w:pStyle w:val="BodyText"/>
      </w:pPr>
      <w:r>
        <w:rPr>
          <w:b/>
          <w:bCs/>
        </w:rPr>
        <w:t xml:space="preserve">Stage 2 (10–100 clinics):</w:t>
      </w:r>
      <w:r>
        <w:t xml:space="preserve"> </w:t>
      </w:r>
      <w:r>
        <w:t xml:space="preserve">Add read replicas and caching (Redis). Monitor query performance. Likely still one primary DB, but heavy reporting offloaded. Start planning shards: e.g. when total rows exceed ~100M.</w:t>
      </w:r>
    </w:p>
    <w:p>
      <w:pPr>
        <w:pStyle w:val="BodyText"/>
      </w:pPr>
      <w:r>
        <w:rPr>
          <w:b/>
          <w:bCs/>
        </w:rPr>
        <w:t xml:space="preserve">Stage 3 (100–1,000 clinics):</w:t>
      </w:r>
      <w:r>
        <w:t xml:space="preserve"> </w:t>
      </w:r>
      <w:r>
        <w:t xml:space="preserve">Shard the database. Options:</w:t>
      </w:r>
      <w:r>
        <w:t xml:space="preserve"> </w:t>
      </w:r>
      <w:r>
        <w:t xml:space="preserve">- Use</w:t>
      </w:r>
      <w:r>
        <w:t xml:space="preserve"> </w:t>
      </w:r>
      <w:r>
        <w:rPr>
          <w:b/>
          <w:bCs/>
        </w:rPr>
        <w:t xml:space="preserve">Citus</w:t>
      </w:r>
      <w:r>
        <w:t xml:space="preserve"> </w:t>
      </w:r>
      <w:r>
        <w:t xml:space="preserve">(Postgres extension) on Supabase (if supported) to distribute tables by clinic_id.</w:t>
      </w:r>
      <w:r>
        <w:t xml:space="preserve"> </w:t>
      </w:r>
      <w:r>
        <w:t xml:space="preserve">- Or provision multiple Supabase projects and route by hash. For example, clinics where</w:t>
      </w:r>
      <w:r>
        <w:t xml:space="preserve"> </w:t>
      </w:r>
      <w:r>
        <w:rPr>
          <w:rStyle w:val="VerbatimChar"/>
        </w:rPr>
        <w:t xml:space="preserve">clinic_id % 3 == 0</w:t>
      </w:r>
      <w:r>
        <w:t xml:space="preserve"> </w:t>
      </w:r>
      <w:r>
        <w:t xml:space="preserve">on DB1,</w:t>
      </w:r>
      <w:r>
        <w:t xml:space="preserve"> </w:t>
      </w:r>
      <w:r>
        <w:rPr>
          <w:rStyle w:val="VerbatimChar"/>
        </w:rPr>
        <w:t xml:space="preserve">%3==1</w:t>
      </w:r>
      <w:r>
        <w:t xml:space="preserve"> </w:t>
      </w:r>
      <w:r>
        <w:t xml:space="preserve">on DB2, etc. This requires an app-side router (middleware).</w:t>
      </w:r>
      <w:r>
        <w:t xml:space="preserve"> </w:t>
      </w:r>
      <w:r>
        <w:t xml:space="preserve">We may also segment by geography (GDPR): route EU clinics to an EU database, US clinics to US database.</w:t>
      </w:r>
      <w:r>
        <w:t xml:space="preserve"> </w:t>
      </w:r>
      <w:r>
        <w:t xml:space="preserve">We’ll build an abstraction layer so queries first look up which DB to use for a given clinic_id.</w:t>
      </w:r>
    </w:p>
    <w:p>
      <w:pPr>
        <w:pStyle w:val="BodyText"/>
      </w:pPr>
      <w:r>
        <w:rPr>
          <w:b/>
          <w:bCs/>
        </w:rPr>
        <w:t xml:space="preserve">Stage 4 (1,000+ clinics):</w:t>
      </w:r>
      <w:r>
        <w:t xml:space="preserve"> </w:t>
      </w:r>
      <w:r>
        <w:t xml:space="preserve">Introduce dedicated DBs for largest tenants. Use Kubernetes or multiple Vercel instances to scale app servers. Implement advanced observability (per-tenant metrics as below).</w:t>
      </w:r>
    </w:p>
    <w:bookmarkEnd w:id="49"/>
    <w:bookmarkStart w:id="50" w:name="monitoring-observability"/>
    <w:p>
      <w:pPr>
        <w:pStyle w:val="Heading2"/>
      </w:pPr>
      <w:r>
        <w:t xml:space="preserve">Monitoring &amp; Observability</w:t>
      </w:r>
    </w:p>
    <w:p>
      <w:pPr>
        <w:pStyle w:val="Compact"/>
        <w:numPr>
          <w:ilvl w:val="0"/>
          <w:numId w:val="1008"/>
        </w:numPr>
      </w:pPr>
      <w:r>
        <w:rPr>
          <w:b/>
          <w:bCs/>
        </w:rPr>
        <w:t xml:space="preserve">Per-Clinic Metrics:</w:t>
      </w:r>
      <w:r>
        <w:t xml:space="preserve"> </w:t>
      </w:r>
      <w:r>
        <w:t xml:space="preserve">Log and aggregate metrics (DAU, API calls, query latency) tagged by</w:t>
      </w:r>
      <w:r>
        <w:t xml:space="preserve"> </w:t>
      </w:r>
      <w:r>
        <w:rPr>
          <w:rStyle w:val="VerbatimChar"/>
        </w:rPr>
        <w:t xml:space="preserve">clinic_id</w:t>
      </w:r>
      <w:r>
        <w:t xml:space="preserve">. We can send logs/metrics to a tool like Datadog or a self-hosted Elastic stack with tenant filters. Dashboards will allow support to see a clinic’s usage. Alerts can trigger if a clinic’s load spikes (so we can throttle or advise them).</w:t>
      </w:r>
    </w:p>
    <w:p>
      <w:pPr>
        <w:numPr>
          <w:ilvl w:val="0"/>
          <w:numId w:val="1008"/>
        </w:numPr>
      </w:pPr>
      <w:r>
        <w:rPr>
          <w:b/>
          <w:bCs/>
        </w:rPr>
        <w:t xml:space="preserve">Cost Tracking:</w:t>
      </w:r>
      <w:r>
        <w:t xml:space="preserve"> </w:t>
      </w:r>
      <w:r>
        <w:t xml:space="preserve">We’ll track per-tenant usage (queries, storage, bandwidth). This feeds our billing. Overage on storage/bandwidth can trigger emails. This also helps identify “whale” tenants for upselling to dedicated tiers.</w:t>
      </w:r>
    </w:p>
    <w:p>
      <w:pPr>
        <w:numPr>
          <w:ilvl w:val="0"/>
          <w:numId w:val="1008"/>
        </w:numPr>
      </w:pPr>
      <w:r>
        <w:rPr>
          <w:b/>
          <w:bCs/>
        </w:rPr>
        <w:t xml:space="preserve">Logging:</w:t>
      </w:r>
      <w:r>
        <w:t xml:space="preserve"> </w:t>
      </w:r>
      <w:r>
        <w:t xml:space="preserve">All application logs will include</w:t>
      </w:r>
      <w:r>
        <w:t xml:space="preserve"> </w:t>
      </w:r>
      <w:r>
        <w:rPr>
          <w:rStyle w:val="VerbatimChar"/>
        </w:rPr>
        <w:t xml:space="preserve">clinic_id</w:t>
      </w:r>
      <w:r>
        <w:t xml:space="preserve"> </w:t>
      </w:r>
      <w:r>
        <w:t xml:space="preserve">(and</w:t>
      </w:r>
      <w:r>
        <w:t xml:space="preserve"> </w:t>
      </w:r>
      <w:r>
        <w:rPr>
          <w:rStyle w:val="VerbatimChar"/>
        </w:rPr>
        <w:t xml:space="preserve">user_id</w:t>
      </w:r>
      <w:r>
        <w:t xml:space="preserve">) in JSON fields. E.g.:</w:t>
      </w:r>
    </w:p>
    <w:p>
      <w:pPr>
        <w:pStyle w:val="SourceCode"/>
        <w:numPr>
          <w:ilvl w:val="0"/>
          <w:numId w:val="1000"/>
        </w:numPr>
      </w:pPr>
      <w:r>
        <w:rPr>
          <w:rStyle w:val="VerbatimChar"/>
        </w:rPr>
        <w:t xml:space="preserve">{ "time": "...", "clinic_id": "abc", "level": "error", "msg": "X-ray upload failed", "user_id": "..." }</w:t>
      </w:r>
    </w:p>
    <w:p>
      <w:pPr>
        <w:numPr>
          <w:ilvl w:val="0"/>
          <w:numId w:val="1000"/>
        </w:numPr>
      </w:pPr>
      <w:r>
        <w:t xml:space="preserve">Logs retained for 90 days for support and auditing. We will use a logging service that allows filtering by</w:t>
      </w:r>
      <w:r>
        <w:t xml:space="preserve"> </w:t>
      </w:r>
      <w:r>
        <w:rPr>
          <w:rStyle w:val="VerbatimChar"/>
        </w:rPr>
        <w:t xml:space="preserve">clinic_id</w:t>
      </w:r>
      <w:r>
        <w:t xml:space="preserve">. We will also avoid logging sensitive PII.</w:t>
      </w:r>
    </w:p>
    <w:p>
      <w:pPr>
        <w:numPr>
          <w:ilvl w:val="0"/>
          <w:numId w:val="1008"/>
        </w:numPr>
      </w:pPr>
      <w:r>
        <w:rPr>
          <w:b/>
          <w:bCs/>
        </w:rPr>
        <w:t xml:space="preserve">Admin Impersonation:</w:t>
      </w:r>
      <w:r>
        <w:t xml:space="preserve"> </w:t>
      </w:r>
      <w:r>
        <w:t xml:space="preserve">Our admin panel will support “impersonate clinic XYZ” (with audit). Any support login as a clinic admin will be logged and have a time limit. Clinics will be notified by email when an impersonation occurs.</w:t>
      </w:r>
    </w:p>
    <w:bookmarkEnd w:id="50"/>
    <w:bookmarkStart w:id="51" w:name="cost-model-pricing-sketch"/>
    <w:p>
      <w:pPr>
        <w:pStyle w:val="Heading2"/>
      </w:pPr>
      <w:r>
        <w:t xml:space="preserve">Cost Model &amp; Pricing (Sketch)</w:t>
      </w:r>
    </w:p>
    <w:p>
      <w:pPr>
        <w:pStyle w:val="FirstParagraph"/>
      </w:pPr>
      <w:r>
        <w:t xml:space="preserve">We estimate infrastructure costs assuming a shared DB:</w:t>
      </w:r>
    </w:p>
    <w:p>
      <w:pPr>
        <w:pStyle w:val="Compact"/>
        <w:numPr>
          <w:ilvl w:val="0"/>
          <w:numId w:val="1009"/>
        </w:numPr>
      </w:pPr>
      <w:r>
        <w:rPr>
          <w:b/>
          <w:bCs/>
        </w:rPr>
        <w:t xml:space="preserve">Database:</w:t>
      </w:r>
      <w:r>
        <w:t xml:space="preserve"> </w:t>
      </w:r>
      <w:r>
        <w:t xml:space="preserve">A mid-sized Supabase DB (~$300/mo) can serve ~1,000 small clinics ($0.30/clinic). This meets our &lt;$0.50 goal. If we shard (e.g. 3 regional DBs at $300 each for 3,000 clinics), cost/clinic ~ $0.30 as well. Only at thousands of clinics would we consider more expensive options. Enterprise clinics (outsized) might have dedicated DBs (~$1000+ each), but we would charge those clinics accordingly.</w:t>
      </w:r>
    </w:p>
    <w:p>
      <w:pPr>
        <w:pStyle w:val="Compact"/>
        <w:numPr>
          <w:ilvl w:val="0"/>
          <w:numId w:val="1009"/>
        </w:numPr>
      </w:pPr>
      <w:r>
        <w:rPr>
          <w:b/>
          <w:bCs/>
        </w:rPr>
        <w:t xml:space="preserve">Storage:</w:t>
      </w:r>
      <w:r>
        <w:t xml:space="preserve"> </w:t>
      </w:r>
      <w:r>
        <w:t xml:space="preserve">If 1 clinic uses ~10GB, then 1,000 clinics = 10TB on Supabase Storage (~$230/mo) which is $0.23/clinic. We can restrict tier storage (basic=10GB, pro=100GB) and charge overage. Delete old X-rays (e.g. at patient offboarding) to control costs.</w:t>
      </w:r>
    </w:p>
    <w:p>
      <w:pPr>
        <w:pStyle w:val="Compact"/>
        <w:numPr>
          <w:ilvl w:val="0"/>
          <w:numId w:val="1009"/>
        </w:numPr>
      </w:pPr>
      <w:r>
        <w:rPr>
          <w:b/>
          <w:bCs/>
        </w:rPr>
        <w:t xml:space="preserve">Bandwidth:</w:t>
      </w:r>
      <w:r>
        <w:t xml:space="preserve"> </w:t>
      </w:r>
      <w:r>
        <w:t xml:space="preserve">With CDN (Cloudflare) caching static assets, outbound data might be ~0.5GB/clinic/mo. At $0.09/GB, that’s ~$0.045/clinic. CDN reduces origin bandwidth further.</w:t>
      </w:r>
    </w:p>
    <w:p>
      <w:pPr>
        <w:pStyle w:val="Compact"/>
        <w:numPr>
          <w:ilvl w:val="0"/>
          <w:numId w:val="1009"/>
        </w:numPr>
      </w:pPr>
      <w:r>
        <w:rPr>
          <w:b/>
          <w:bCs/>
        </w:rPr>
        <w:t xml:space="preserve">Compute:</w:t>
      </w:r>
      <w:r>
        <w:t xml:space="preserve"> </w:t>
      </w:r>
      <w:r>
        <w:t xml:space="preserve">Vercel usage (serverless functions) scales per invocation. 1000 clinics * 100 API calls/day * small function = negligible cost (maybe $50-100/mo total). We’ll stay in free limits or low tiers by optimizing.</w:t>
      </w:r>
    </w:p>
    <w:p>
      <w:pPr>
        <w:pStyle w:val="Compact"/>
        <w:numPr>
          <w:ilvl w:val="0"/>
          <w:numId w:val="1009"/>
        </w:numPr>
      </w:pPr>
      <w:r>
        <w:rPr>
          <w:b/>
          <w:bCs/>
        </w:rPr>
        <w:t xml:space="preserve">Email (Resend):</w:t>
      </w:r>
      <w:r>
        <w:t xml:space="preserve"> </w:t>
      </w:r>
      <w:r>
        <w:t xml:space="preserve">Minimal ($1k subscribers @ sendgrid-like rates).</w:t>
      </w:r>
    </w:p>
    <w:p>
      <w:pPr>
        <w:pStyle w:val="Compact"/>
        <w:numPr>
          <w:ilvl w:val="0"/>
          <w:numId w:val="1009"/>
        </w:numPr>
      </w:pPr>
      <w:r>
        <w:rPr>
          <w:b/>
          <w:bCs/>
        </w:rPr>
        <w:t xml:space="preserve">Total infra ~$0.50/clinic/mo or less.</w:t>
      </w:r>
      <w:r>
        <w:t xml:space="preserve"> </w:t>
      </w:r>
      <w:r>
        <w:t xml:space="preserve">This allows a $99/mo base plan to be comfortably profitable.</w:t>
      </w:r>
    </w:p>
    <w:p>
      <w:pPr>
        <w:pStyle w:val="FirstParagraph"/>
      </w:pPr>
      <w:r>
        <w:t xml:space="preserve">We propose pricing tiers aligning with cost:</w:t>
      </w:r>
      <w:r>
        <w:t xml:space="preserve"> </w:t>
      </w:r>
      <w:r>
        <w:t xml:space="preserve">-</w:t>
      </w:r>
      <w:r>
        <w:t xml:space="preserve"> </w:t>
      </w:r>
      <w:r>
        <w:rPr>
          <w:b/>
          <w:bCs/>
        </w:rPr>
        <w:t xml:space="preserve">Basic</w:t>
      </w:r>
      <w:r>
        <w:t xml:space="preserve"> </w:t>
      </w:r>
      <w:r>
        <w:t xml:space="preserve">(1 doctor, 100 patients, ~10GB) on shared DB.</w:t>
      </w:r>
      <w:r>
        <w:t xml:space="preserve"> </w:t>
      </w:r>
      <w:r>
        <w:t xml:space="preserve">-</w:t>
      </w:r>
      <w:r>
        <w:t xml:space="preserve"> </w:t>
      </w:r>
      <w:r>
        <w:rPr>
          <w:b/>
          <w:bCs/>
        </w:rPr>
        <w:t xml:space="preserve">Pro</w:t>
      </w:r>
      <w:r>
        <w:t xml:space="preserve"> </w:t>
      </w:r>
      <w:r>
        <w:t xml:space="preserve">(up to 5 doctors, 1000 patients, 100GB) on shared DB with priority support.</w:t>
      </w:r>
      <w:r>
        <w:t xml:space="preserve"> </w:t>
      </w:r>
      <w:r>
        <w:t xml:space="preserve">-</w:t>
      </w:r>
      <w:r>
        <w:t xml:space="preserve"> </w:t>
      </w:r>
      <w:r>
        <w:rPr>
          <w:b/>
          <w:bCs/>
        </w:rPr>
        <w:t xml:space="preserve">Enterprise</w:t>
      </w:r>
      <w:r>
        <w:t xml:space="preserve"> </w:t>
      </w:r>
      <w:r>
        <w:t xml:space="preserve">(unlimited, dedicated DB) for large groups/DSOs.</w:t>
      </w:r>
    </w:p>
    <w:p>
      <w:pPr>
        <w:pStyle w:val="BodyText"/>
      </w:pPr>
      <w:r>
        <w:t xml:space="preserve">Each tier unlocks more storage and features (e.g. AI modules, custom domain).</w:t>
      </w:r>
    </w:p>
    <w:bookmarkEnd w:id="51"/>
    <w:bookmarkStart w:id="52" w:name="migration-onboarding"/>
    <w:p>
      <w:pPr>
        <w:pStyle w:val="Heading2"/>
      </w:pPr>
      <w:r>
        <w:t xml:space="preserve">Migration &amp; Onboarding</w:t>
      </w:r>
    </w:p>
    <w:p>
      <w:pPr>
        <w:numPr>
          <w:ilvl w:val="0"/>
          <w:numId w:val="1010"/>
        </w:numPr>
      </w:pPr>
      <w:r>
        <w:rPr>
          <w:b/>
          <w:bCs/>
        </w:rPr>
        <w:t xml:space="preserve">New Clinic Signup:</w:t>
      </w:r>
      <w:r>
        <w:t xml:space="preserve"> </w:t>
      </w:r>
      <w:r>
        <w:t xml:space="preserve">Automated workflow will create a new</w:t>
      </w:r>
      <w:r>
        <w:t xml:space="preserve"> </w:t>
      </w:r>
      <w:r>
        <w:rPr>
          <w:rStyle w:val="VerbatimChar"/>
        </w:rPr>
        <w:t xml:space="preserve">clinic</w:t>
      </w:r>
      <w:r>
        <w:t xml:space="preserve"> </w:t>
      </w:r>
      <w:r>
        <w:t xml:space="preserve">record, generate its</w:t>
      </w:r>
      <w:r>
        <w:t xml:space="preserve"> </w:t>
      </w:r>
      <w:r>
        <w:rPr>
          <w:rStyle w:val="VerbatimChar"/>
        </w:rPr>
        <w:t xml:space="preserve">clinic_id</w:t>
      </w:r>
      <w:r>
        <w:t xml:space="preserve"> </w:t>
      </w:r>
      <w:r>
        <w:t xml:space="preserve">UUID, set up default configurations (theme, feature flags, initial admin user). DNS and SSL: we’ll automatically register</w:t>
      </w:r>
      <w:r>
        <w:t xml:space="preserve"> </w:t>
      </w:r>
      <w:r>
        <w:rPr>
          <w:rStyle w:val="VerbatimChar"/>
        </w:rPr>
        <w:t xml:space="preserve">clinic-name.yourplatform.com</w:t>
      </w:r>
      <w:r>
        <w:t xml:space="preserve"> </w:t>
      </w:r>
      <w:r>
        <w:t xml:space="preserve">(just a DNS entry) and provision a Let’s Encrypt cert. Welcome email with magic link is sent. All steps should succeed within ~30s, or roll back. This uses Vercel’s and Supabase’s APIs.</w:t>
      </w:r>
    </w:p>
    <w:p>
      <w:pPr>
        <w:numPr>
          <w:ilvl w:val="0"/>
          <w:numId w:val="1010"/>
        </w:numPr>
      </w:pPr>
      <w:r>
        <w:rPr>
          <w:b/>
          <w:bCs/>
        </w:rPr>
        <w:t xml:space="preserve">Canonical Emails:</w:t>
      </w:r>
      <w:r>
        <w:t xml:space="preserve"> </w:t>
      </w:r>
      <w:r>
        <w:t xml:space="preserve">To prevent duplicate leads, we’ll add a unique constraint on patient email+clinic. If a patient signs up in multiple clinics, we can either forbid it or merge records via an admin console. (E.g. detect same email, ask to link to existing patient profile.)</w:t>
      </w:r>
    </w:p>
    <w:p>
      <w:pPr>
        <w:numPr>
          <w:ilvl w:val="0"/>
          <w:numId w:val="1010"/>
        </w:numPr>
      </w:pPr>
      <w:r>
        <w:rPr>
          <w:b/>
          <w:bCs/>
        </w:rPr>
        <w:t xml:space="preserve">Single → Multi Tenant Migration:</w:t>
      </w:r>
      <w:r>
        <w:t xml:space="preserve"> </w:t>
      </w:r>
      <w:r>
        <w:t xml:space="preserve">For our live clinic (Smile Design Turkey), we’ll add a</w:t>
      </w:r>
      <w:r>
        <w:t xml:space="preserve"> </w:t>
      </w:r>
      <w:r>
        <w:rPr>
          <w:rStyle w:val="VerbatimChar"/>
        </w:rPr>
        <w:t xml:space="preserve">clinic_id</w:t>
      </w:r>
      <w:r>
        <w:t xml:space="preserve"> </w:t>
      </w:r>
      <w:r>
        <w:t xml:space="preserve">column and run</w:t>
      </w:r>
      <w:r>
        <w:t xml:space="preserve"> </w:t>
      </w:r>
      <w:r>
        <w:rPr>
          <w:rStyle w:val="VerbatimChar"/>
        </w:rPr>
        <w:t xml:space="preserve">UPDATE ... SET clinic_id = '&lt;old-clinic-id&gt;'</w:t>
      </w:r>
      <w:r>
        <w:t xml:space="preserve"> </w:t>
      </w:r>
      <w:r>
        <w:t xml:space="preserve">on all tables. Deploy code with RLS enabled after backfilling. Test thoroughly (RLS will lock down all other clinics). Then onboard others.</w:t>
      </w:r>
    </w:p>
    <w:bookmarkEnd w:id="52"/>
    <w:bookmarkStart w:id="53" w:name="security-and-compliance-summary"/>
    <w:p>
      <w:pPr>
        <w:pStyle w:val="Heading2"/>
      </w:pPr>
      <w:r>
        <w:t xml:space="preserve">Security and Compliance Summary</w:t>
      </w:r>
    </w:p>
    <w:p>
      <w:pPr>
        <w:numPr>
          <w:ilvl w:val="0"/>
          <w:numId w:val="1011"/>
        </w:numPr>
      </w:pPr>
      <w:r>
        <w:rPr>
          <w:b/>
          <w:bCs/>
        </w:rPr>
        <w:t xml:space="preserve">Data Leakage Prevention:</w:t>
      </w:r>
      <w:r>
        <w:t xml:space="preserve"> </w:t>
      </w:r>
      <w:r>
        <w:t xml:space="preserve">Every database table has</w:t>
      </w:r>
      <w:r>
        <w:t xml:space="preserve"> </w:t>
      </w:r>
      <w:r>
        <w:rPr>
          <w:rStyle w:val="VerbatimChar"/>
        </w:rPr>
        <w:t xml:space="preserve">clinic_id NOT NULL</w:t>
      </w:r>
      <w:r>
        <w:t xml:space="preserve">, and RLS policies</w:t>
      </w:r>
      <w:hyperlink r:id="rId23">
        <w:r>
          <w:rPr>
            <w:rStyle w:val="Hyperlink"/>
          </w:rPr>
          <w:t xml:space="preserve">[3]</w:t>
        </w:r>
      </w:hyperlink>
      <w:r>
        <w:t xml:space="preserve">. Our code reviews will include a tenant-checklist (SQL must reference tenant). We’ll run regular security scans for any SQL without filters. Supabase’s RLS ensures even if code is buggy, cross-tenant reads are blocked.</w:t>
      </w:r>
    </w:p>
    <w:p>
      <w:pPr>
        <w:numPr>
          <w:ilvl w:val="0"/>
          <w:numId w:val="1011"/>
        </w:numPr>
      </w:pPr>
      <w:r>
        <w:rPr>
          <w:b/>
          <w:bCs/>
        </w:rPr>
        <w:t xml:space="preserve">GDPR/HIPAA:</w:t>
      </w:r>
      <w:r>
        <w:t xml:space="preserve"> </w:t>
      </w:r>
      <w:r>
        <w:t xml:space="preserve">EU tenants’ data reside in EU by policy. Supabase offers multi-region, so we’ll segment by</w:t>
      </w:r>
      <w:r>
        <w:t xml:space="preserve"> </w:t>
      </w:r>
      <w:r>
        <w:rPr>
          <w:rStyle w:val="VerbatimChar"/>
        </w:rPr>
        <w:t xml:space="preserve">clinic.region</w:t>
      </w:r>
      <w:r>
        <w:t xml:space="preserve">. We’ll expose data export tools so clinics can get their data in CSV/JSON (GDPR data portability). All data is encrypted (Supabase uses AES-256 at rest and TLS in transit). We’ll follow HIPAA best practices (BAA with Supabase, audit logs, access controls).</w:t>
      </w:r>
    </w:p>
    <w:p>
      <w:pPr>
        <w:numPr>
          <w:ilvl w:val="0"/>
          <w:numId w:val="1011"/>
        </w:numPr>
      </w:pPr>
      <w:r>
        <w:rPr>
          <w:b/>
          <w:bCs/>
        </w:rPr>
        <w:t xml:space="preserve">Pen Testing and Audits:</w:t>
      </w:r>
      <w:r>
        <w:t xml:space="preserve"> </w:t>
      </w:r>
      <w:r>
        <w:t xml:space="preserve">We will schedule quarterly security reviews. Any findings (e.g. RLS bypass vulnerabilities) will be fixed immediately.</w:t>
      </w:r>
    </w:p>
    <w:p>
      <w:r>
        <w:pict>
          <v:rect style="width:0;height:1.5pt" o:hralign="center" o:hrstd="t" o:hr="t"/>
        </w:pict>
      </w:r>
    </w:p>
    <w:p>
      <w:pPr>
        <w:pStyle w:val="FirstParagraph"/>
      </w:pPr>
      <w:r>
        <w:rPr>
          <w:b/>
          <w:bCs/>
        </w:rPr>
        <w:t xml:space="preserve">Sources:</w:t>
      </w:r>
      <w:r>
        <w:t xml:space="preserve"> </w:t>
      </w:r>
      <w:r>
        <w:t xml:space="preserve">Industry documentation and blogs on multi-tenancy provide our guidance. For example, Slack’s architecture uses</w:t>
      </w:r>
      <w:r>
        <w:t xml:space="preserve"> </w:t>
      </w:r>
      <w:r>
        <w:rPr>
          <w:b/>
          <w:bCs/>
        </w:rPr>
        <w:t xml:space="preserve">shared Postgres + RLS + sharding</w:t>
      </w:r>
      <w:r>
        <w:t xml:space="preserve"> </w:t>
      </w:r>
      <w:r>
        <w:t xml:space="preserve">by workspace</w:t>
      </w:r>
      <w:hyperlink r:id="rId22">
        <w:r>
          <w:rPr>
            <w:rStyle w:val="Hyperlink"/>
          </w:rPr>
          <w:t xml:space="preserve">[2]</w:t>
        </w:r>
      </w:hyperlink>
      <w:hyperlink r:id="rId36">
        <w:r>
          <w:rPr>
            <w:rStyle w:val="Hyperlink"/>
          </w:rPr>
          <w:t xml:space="preserve">[14]</w:t>
        </w:r>
      </w:hyperlink>
      <w:r>
        <w:t xml:space="preserve">, Zendesk uses</w:t>
      </w:r>
      <w:r>
        <w:t xml:space="preserve"> </w:t>
      </w:r>
      <w:r>
        <w:rPr>
          <w:b/>
          <w:bCs/>
        </w:rPr>
        <w:t xml:space="preserve">hundreds of shards and pods</w:t>
      </w:r>
      <w:hyperlink r:id="rId24">
        <w:r>
          <w:rPr>
            <w:rStyle w:val="Hyperlink"/>
          </w:rPr>
          <w:t xml:space="preserve">[4]</w:t>
        </w:r>
      </w:hyperlink>
      <w:r>
        <w:t xml:space="preserve">, and Salesforce uses a</w:t>
      </w:r>
      <w:r>
        <w:t xml:space="preserve"> </w:t>
      </w:r>
      <w:r>
        <w:rPr>
          <w:b/>
          <w:bCs/>
        </w:rPr>
        <w:t xml:space="preserve">single shared DB with row partitioning</w:t>
      </w:r>
      <w:hyperlink r:id="rId21">
        <w:r>
          <w:rPr>
            <w:rStyle w:val="Hyperlink"/>
          </w:rPr>
          <w:t xml:space="preserve">[1]</w:t>
        </w:r>
      </w:hyperlink>
      <w:r>
        <w:t xml:space="preserve">. MakerKit’s research on Supabase RLS highlights that</w:t>
      </w:r>
      <w:r>
        <w:t xml:space="preserve"> </w:t>
      </w:r>
      <w:r>
        <w:rPr>
          <w:i/>
          <w:iCs/>
        </w:rPr>
        <w:t xml:space="preserve">“row-level security adds implicit WHERE clauses to every query”</w:t>
      </w:r>
      <w:r>
        <w:t xml:space="preserve"> </w:t>
      </w:r>
      <w:r>
        <w:t xml:space="preserve">and must be enabled on all tables for security</w:t>
      </w:r>
      <w:hyperlink r:id="rId23">
        <w:r>
          <w:rPr>
            <w:rStyle w:val="Hyperlink"/>
          </w:rPr>
          <w:t xml:space="preserve">[3]</w:t>
        </w:r>
      </w:hyperlink>
      <w:r>
        <w:t xml:space="preserve">. We leverage these battle-tested patterns to ensure</w:t>
      </w:r>
      <w:r>
        <w:t xml:space="preserve"> </w:t>
      </w:r>
      <w:r>
        <w:rPr>
          <w:i/>
          <w:iCs/>
        </w:rPr>
        <w:t xml:space="preserve">“zero data leakage”</w:t>
      </w:r>
      <w:r>
        <w:t xml:space="preserve"> </w:t>
      </w:r>
      <w:r>
        <w:t xml:space="preserve">and linear scalability from 1 to 10,000 clinics.</w:t>
      </w:r>
    </w:p>
    <w:bookmarkEnd w:id="53"/>
    <w:bookmarkEnd w:id="54"/>
    <w:bookmarkEnd w:id="55"/>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33">
        <w:r>
          <w:rPr>
            <w:rStyle w:val="Hyperlink"/>
          </w:rPr>
          <w:t xml:space="preserve">[11]</w:t>
        </w:r>
      </w:hyperlink>
      <w:r>
        <w:t xml:space="preserve"> </w:t>
      </w:r>
      <w:r>
        <w:t xml:space="preserve"> </w:t>
      </w:r>
      <w:r>
        <w:t xml:space="preserve">Platform Multitenant Architecture</w:t>
      </w:r>
      <w:r>
        <w:t xml:space="preserve"> </w:t>
      </w:r>
      <w:r>
        <w:t xml:space="preserve">| Salesforce Architects</w:t>
      </w:r>
    </w:p>
    <w:p>
      <w:pPr>
        <w:pStyle w:val="BodyText"/>
      </w:pPr>
      <w:hyperlink r:id="rId56">
        <w:r>
          <w:rPr>
            <w:rStyle w:val="Hyperlink"/>
          </w:rPr>
          <w:t xml:space="preserve">https://architect.salesforce.com/fundamentals/platform-multitenant-architecture</w:t>
        </w:r>
      </w:hyperlink>
    </w:p>
    <w:p>
      <w:pPr>
        <w:pStyle w:val="BodyText"/>
      </w:pPr>
      <w:hyperlink r:id="rId22">
        <w:r>
          <w:rPr>
            <w:rStyle w:val="Hyperlink"/>
          </w:rPr>
          <w:t xml:space="preserve">[2]</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r>
        <w:t xml:space="preserve">Deep Dive: Slack’s Multi-Tenancy Architecture - DEV Community</w:t>
      </w:r>
    </w:p>
    <w:p>
      <w:pPr>
        <w:pStyle w:val="BodyText"/>
      </w:pPr>
      <w:hyperlink r:id="rId57">
        <w:r>
          <w:rPr>
            <w:rStyle w:val="Hyperlink"/>
          </w:rPr>
          <w:t xml:space="preserve">https://dev.to/devcorner/deep-dive-slacks-multi-tenancy-architecture-m38</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41">
        <w:r>
          <w:rPr>
            <w:rStyle w:val="Hyperlink"/>
          </w:rPr>
          <w:t xml:space="preserve">[17]</w:t>
        </w:r>
      </w:hyperlink>
      <w:r>
        <w:t xml:space="preserve"> </w:t>
      </w:r>
      <w:hyperlink r:id="rId47">
        <w:r>
          <w:rPr>
            <w:rStyle w:val="Hyperlink"/>
          </w:rPr>
          <w:t xml:space="preserve">[18]</w:t>
        </w:r>
      </w:hyperlink>
      <w:r>
        <w:t xml:space="preserve"> </w:t>
      </w:r>
      <w:r>
        <w:t xml:space="preserve">Supabase RLS Best Practices: Production Patterns for Secure Multi-Tenant Apps</w:t>
      </w:r>
    </w:p>
    <w:p>
      <w:pPr>
        <w:pStyle w:val="BodyText"/>
      </w:pPr>
      <w:hyperlink r:id="rId58">
        <w:r>
          <w:rPr>
            <w:rStyle w:val="Hyperlink"/>
          </w:rPr>
          <w:t xml:space="preserve">https://makerkit.dev/blog/tutorials/supabase-rls-best-practices</w:t>
        </w:r>
      </w:hyperlink>
    </w:p>
    <w:p>
      <w:pPr>
        <w:pStyle w:val="BodyText"/>
      </w:pPr>
      <w:hyperlink r:id="rId24">
        <w:r>
          <w:rPr>
            <w:rStyle w:val="Hyperlink"/>
          </w:rPr>
          <w:t xml:space="preserve">[4]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r>
        <w:t xml:space="preserve">Zendesk Support scalability and performance: Technical architecture – Zendesk help</w:t>
      </w:r>
    </w:p>
    <w:p>
      <w:pPr>
        <w:pStyle w:val="BodyText"/>
      </w:pPr>
      <w:hyperlink r:id="rId59">
        <w:r>
          <w:rPr>
            <w:rStyle w:val="Hyperlink"/>
          </w:rPr>
          <w:t xml:space="preserve">https://support.zendesk.com/hc/en-us/articles/4408832509338-Zendesk-Support-scalability-and-performance-Technical-architecture</w:t>
        </w:r>
      </w:hyperlink>
    </w:p>
    <w:p>
      <w:pPr>
        <w:pStyle w:val="BodyText"/>
      </w:pPr>
      <w:hyperlink r:id="rId26">
        <w:r>
          <w:rPr>
            <w:rStyle w:val="Hyperlink"/>
          </w:rPr>
          <w:t xml:space="preserve">[6]</w:t>
        </w:r>
      </w:hyperlink>
      <w:r>
        <w:t xml:space="preserve"> </w:t>
      </w:r>
      <w:r>
        <w:t xml:space="preserve">A New Era in Ambulatory Care AI | athenahealth</w:t>
      </w:r>
    </w:p>
    <w:p>
      <w:pPr>
        <w:pStyle w:val="BodyText"/>
      </w:pPr>
      <w:hyperlink r:id="rId60">
        <w:r>
          <w:rPr>
            <w:rStyle w:val="Hyperlink"/>
          </w:rPr>
          <w:t xml:space="preserve">https://www.athenahealth.com/resources/blog/ai-native-ambulatory-care</w:t>
        </w:r>
      </w:hyperlink>
    </w:p>
    <w:p>
      <w:pPr>
        <w:pStyle w:val="BodyText"/>
      </w:pPr>
      <w:hyperlink r:id="rId27">
        <w:r>
          <w:rPr>
            <w:rStyle w:val="Hyperlink"/>
          </w:rPr>
          <w:t xml:space="preserve">[7]</w:t>
        </w:r>
      </w:hyperlink>
      <w:r>
        <w:t xml:space="preserve"> </w:t>
      </w:r>
      <w:r>
        <w:t xml:space="preserve">What Does AI-Native EHR Mean in Healthcare? | athenahealth</w:t>
      </w:r>
    </w:p>
    <w:p>
      <w:pPr>
        <w:pStyle w:val="BodyText"/>
      </w:pPr>
      <w:hyperlink r:id="rId61">
        <w:r>
          <w:rPr>
            <w:rStyle w:val="Hyperlink"/>
          </w:rPr>
          <w:t xml:space="preserve">https://www.athenahealth.com/resources/blog/what-is-ai-native-ehr</w:t>
        </w:r>
      </w:hyperlink>
    </w:p>
    <w:p>
      <w:pPr>
        <w:pStyle w:val="BodyText"/>
      </w:pPr>
      <w:hyperlink r:id="rId28">
        <w:r>
          <w:rPr>
            <w:rStyle w:val="Hyperlink"/>
          </w:rPr>
          <w:t xml:space="preserve">[8]</w:t>
        </w:r>
      </w:hyperlink>
      <w:r>
        <w:t xml:space="preserve"> </w:t>
      </w:r>
      <w:r>
        <w:t xml:space="preserve">DI Solutions</w:t>
      </w:r>
    </w:p>
    <w:p>
      <w:pPr>
        <w:pStyle w:val="BodyText"/>
      </w:pPr>
      <w:hyperlink r:id="rId62">
        <w:r>
          <w:rPr>
            <w:rStyle w:val="Hyperlink"/>
          </w:rPr>
          <w:t xml:space="preserve">https://disolutions.net/blog/building-multi-tenant-saas-healthcare-platforms-cto-guide</w:t>
        </w:r>
      </w:hyperlink>
    </w:p>
    <w:p>
      <w:pPr>
        <w:pStyle w:val="BodyText"/>
      </w:pPr>
      <w:hyperlink r:id="rId30">
        <w:r>
          <w:rPr>
            <w:rStyle w:val="Hyperlink"/>
          </w:rPr>
          <w:t xml:space="preserve">[9]</w:t>
        </w:r>
      </w:hyperlink>
      <w:r>
        <w:t xml:space="preserve"> </w:t>
      </w:r>
      <w:r>
        <w:t xml:space="preserve">Open Dental vs. Curve Dental: A Side-by-Side Look at Two Practice Management Approaches</w:t>
      </w:r>
    </w:p>
    <w:p>
      <w:pPr>
        <w:pStyle w:val="BodyText"/>
      </w:pPr>
      <w:hyperlink r:id="rId63">
        <w:r>
          <w:rPr>
            <w:rStyle w:val="Hyperlink"/>
          </w:rPr>
          <w:t xml:space="preserve">https://www.curvedental.com/blog/open-dental-vs-curve-dental</w:t>
        </w:r>
      </w:hyperlink>
    </w:p>
    <w:p>
      <w:pPr>
        <w:pStyle w:val="BodyText"/>
      </w:pPr>
      <w:hyperlink r:id="rId31">
        <w:r>
          <w:rPr>
            <w:rStyle w:val="Hyperlink"/>
          </w:rPr>
          <w:t xml:space="preserve">[10]</w:t>
        </w:r>
      </w:hyperlink>
      <w:r>
        <w:t xml:space="preserve"> </w:t>
      </w:r>
      <w:r>
        <w:t xml:space="preserve">Use a Cloud-Based Practice Management Platform to Scale the Systems Across Your Multilocation Group Dental Practice | Dentrix Ascend</w:t>
      </w:r>
    </w:p>
    <w:p>
      <w:pPr>
        <w:pStyle w:val="BodyText"/>
      </w:pPr>
      <w:hyperlink r:id="rId64">
        <w:r>
          <w:rPr>
            <w:rStyle w:val="Hyperlink"/>
          </w:rPr>
          <w:t xml:space="preserve">https://www.dentrixascend.com/articles/show/5055</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architect.salesforce.com/fundamentals/platform-multitenant-architecture" TargetMode="External" /><Relationship Type="http://schemas.openxmlformats.org/officeDocument/2006/relationships/hyperlink" Id="rId21" Target="https://architect.salesforce.com/fundamentals/platform-multitenant-architecture#:~:text=,business%20logic%2C%20and%20APIs%20for" TargetMode="External" /><Relationship Type="http://schemas.openxmlformats.org/officeDocument/2006/relationships/hyperlink" Id="rId33" Target="https://architect.salesforce.com/fundamentals/platform-multitenant-architecture#:~:text=Data%20Partitioning" TargetMode="External" /><Relationship Type="http://schemas.openxmlformats.org/officeDocument/2006/relationships/hyperlink" Id="rId57" Target="https://dev.to/devcorner/deep-dive-slacks-multi-tenancy-architecture-m38" TargetMode="External" /><Relationship Type="http://schemas.openxmlformats.org/officeDocument/2006/relationships/hyperlink" Id="rId35" Target="https://dev.to/devcorner/deep-dive-slacks-multi-tenancy-architecture-m38#:~:text=Example%3A%20Messages%20Table%20" TargetMode="External" /><Relationship Type="http://schemas.openxmlformats.org/officeDocument/2006/relationships/hyperlink" Id="rId22" Target="https://dev.to/devcorner/deep-dive-slacks-multi-tenancy-architecture-m38#:~:text=Key%20Technologies%20Used" TargetMode="External" /><Relationship Type="http://schemas.openxmlformats.org/officeDocument/2006/relationships/hyperlink" Id="rId34" Target="https://dev.to/devcorner/deep-dive-slacks-multi-tenancy-architecture-m38#:~:text=Row" TargetMode="External" /><Relationship Type="http://schemas.openxmlformats.org/officeDocument/2006/relationships/hyperlink" Id="rId36" Target="https://dev.to/devcorner/deep-dive-slacks-multi-tenancy-architecture-m38#:~:text=Solution%3A%20Vitess%20for%20Database%20Sharding" TargetMode="External" /><Relationship Type="http://schemas.openxmlformats.org/officeDocument/2006/relationships/hyperlink" Id="rId62" Target="https://disolutions.net/blog/building-multi-tenant-saas-healthcare-platforms-cto-guide" TargetMode="External" /><Relationship Type="http://schemas.openxmlformats.org/officeDocument/2006/relationships/hyperlink" Id="rId28" Target="https://disolutions.net/blog/building-multi-tenant-saas-healthcare-platforms-cto-guide#:~:text=Examples%20of%20Multi" TargetMode="External" /><Relationship Type="http://schemas.openxmlformats.org/officeDocument/2006/relationships/hyperlink" Id="rId58" Target="https://makerkit.dev/blog/tutorials/supabase-rls-best-practices" TargetMode="External" /><Relationship Type="http://schemas.openxmlformats.org/officeDocument/2006/relationships/hyperlink" Id="rId41" Target="https://makerkit.dev/blog/tutorials/supabase-rls-best-practices#:~:text=,your%20database%20to%20untrusted%20clients" TargetMode="External" /><Relationship Type="http://schemas.openxmlformats.org/officeDocument/2006/relationships/hyperlink" Id="rId25" Target="https://makerkit.dev/blog/tutorials/supabase-rls-best-practices#:~:text=1,Policies" TargetMode="External" /><Relationship Type="http://schemas.openxmlformats.org/officeDocument/2006/relationships/hyperlink" Id="rId47" Target="https://makerkit.dev/blog/tutorials/supabase-rls-best-practices#:~:text=JWT%20claims%20in%20,Don%27t%20use%20them%20for%20authorization" TargetMode="External" /><Relationship Type="http://schemas.openxmlformats.org/officeDocument/2006/relationships/hyperlink" Id="rId23" Target="https://makerkit.dev/blog/tutorials/supabase-rls-best-practices#:~:text=Row%20Level%20Security%20,API%20in%20Supabase%20or%20PostgREST" TargetMode="External" /><Relationship Type="http://schemas.openxmlformats.org/officeDocument/2006/relationships/hyperlink" Id="rId59" Target="https://support.zendesk.com/hc/en-us/articles/4408832509338-Zendesk-Support-scalability-and-performance-Technical-architecture" TargetMode="External" /><Relationship Type="http://schemas.openxmlformats.org/officeDocument/2006/relationships/hyperlink" Id="rId38" Target="https://support.zendesk.com/hc/en-us/articles/4408832509338-Zendesk-Support-scalability-and-performance-Technical-architecture#:~:text=A%20pod%20architecture%20design" TargetMode="External" /><Relationship Type="http://schemas.openxmlformats.org/officeDocument/2006/relationships/hyperlink" Id="rId24" Target="https://support.zendesk.com/hc/en-us/articles/4408832509338-Zendesk-Support-scalability-and-performance-Technical-architecture#:~:text=The%20building%20blocks%20of%20each,database%20cluster%20to%20the%20customer" TargetMode="External" /><Relationship Type="http://schemas.openxmlformats.org/officeDocument/2006/relationships/hyperlink" Id="rId37" Target="https://support.zendesk.com/hc/en-us/articles/4408832509338-Zendesk-Support-scalability-and-performance-Technical-architecture#:~:text=Zendesk%20Support%20uses%20a%20fully,sustaining%20instances%20of%20the%20application" TargetMode="External" /><Relationship Type="http://schemas.openxmlformats.org/officeDocument/2006/relationships/hyperlink" Id="rId60" Target="https://www.athenahealth.com/resources/blog/ai-native-ambulatory-care" TargetMode="External" /><Relationship Type="http://schemas.openxmlformats.org/officeDocument/2006/relationships/hyperlink" Id="rId26" Target="https://www.athenahealth.com/resources/blog/ai-native-ambulatory-care#:~:text=Delivered%20to%20160%2C000%20ambulatory%20providers,instance%20platform" TargetMode="External" /><Relationship Type="http://schemas.openxmlformats.org/officeDocument/2006/relationships/hyperlink" Id="rId61" Target="https://www.athenahealth.com/resources/blog/what-is-ai-native-ehr" TargetMode="External" /><Relationship Type="http://schemas.openxmlformats.org/officeDocument/2006/relationships/hyperlink" Id="rId27" Target="https://www.athenahealth.com/resources/blog/what-is-ai-native-ehr#:~:text=athenaOne%C2%AE%3A%20The%20AI,for%20ambulatory%20care" TargetMode="External" /><Relationship Type="http://schemas.openxmlformats.org/officeDocument/2006/relationships/hyperlink" Id="rId63" Target="https://www.curvedental.com/blog/open-dental-vs-curve-dental" TargetMode="External" /><Relationship Type="http://schemas.openxmlformats.org/officeDocument/2006/relationships/hyperlink" Id="rId30" Target="https://www.curvedental.com/blog/open-dental-vs-curve-dental#:~:text=Category%20Open%20Dental%20Curve%20Dental,in%2C%20encrypted%20backups%20with%20AWS" TargetMode="External" /><Relationship Type="http://schemas.openxmlformats.org/officeDocument/2006/relationships/hyperlink" Id="rId64" Target="https://www.dentrixascend.com/articles/show/5055" TargetMode="External" /><Relationship Type="http://schemas.openxmlformats.org/officeDocument/2006/relationships/hyperlink" Id="rId31" Target="https://www.dentrixascend.com/articles/show/5055#:~:text=Dentrix%20Ascend%20from%20Henry%20Schein,scalability%20as%20your%20organization%20grows" TargetMode="External" /></Relationships>
</file>

<file path=word/_rels/footnotes.xml.rels><?xml version="1.0" encoding="UTF-8"?><Relationships xmlns="http://schemas.openxmlformats.org/package/2006/relationships"><Relationship Type="http://schemas.openxmlformats.org/officeDocument/2006/relationships/hyperlink" Id="rId56" Target="https://architect.salesforce.com/fundamentals/platform-multitenant-architecture" TargetMode="External" /><Relationship Type="http://schemas.openxmlformats.org/officeDocument/2006/relationships/hyperlink" Id="rId21" Target="https://architect.salesforce.com/fundamentals/platform-multitenant-architecture#:~:text=,business%20logic%2C%20and%20APIs%20for" TargetMode="External" /><Relationship Type="http://schemas.openxmlformats.org/officeDocument/2006/relationships/hyperlink" Id="rId33" Target="https://architect.salesforce.com/fundamentals/platform-multitenant-architecture#:~:text=Data%20Partitioning" TargetMode="External" /><Relationship Type="http://schemas.openxmlformats.org/officeDocument/2006/relationships/hyperlink" Id="rId57" Target="https://dev.to/devcorner/deep-dive-slacks-multi-tenancy-architecture-m38" TargetMode="External" /><Relationship Type="http://schemas.openxmlformats.org/officeDocument/2006/relationships/hyperlink" Id="rId35" Target="https://dev.to/devcorner/deep-dive-slacks-multi-tenancy-architecture-m38#:~:text=Example%3A%20Messages%20Table%20" TargetMode="External" /><Relationship Type="http://schemas.openxmlformats.org/officeDocument/2006/relationships/hyperlink" Id="rId22" Target="https://dev.to/devcorner/deep-dive-slacks-multi-tenancy-architecture-m38#:~:text=Key%20Technologies%20Used" TargetMode="External" /><Relationship Type="http://schemas.openxmlformats.org/officeDocument/2006/relationships/hyperlink" Id="rId34" Target="https://dev.to/devcorner/deep-dive-slacks-multi-tenancy-architecture-m38#:~:text=Row" TargetMode="External" /><Relationship Type="http://schemas.openxmlformats.org/officeDocument/2006/relationships/hyperlink" Id="rId36" Target="https://dev.to/devcorner/deep-dive-slacks-multi-tenancy-architecture-m38#:~:text=Solution%3A%20Vitess%20for%20Database%20Sharding" TargetMode="External" /><Relationship Type="http://schemas.openxmlformats.org/officeDocument/2006/relationships/hyperlink" Id="rId62" Target="https://disolutions.net/blog/building-multi-tenant-saas-healthcare-platforms-cto-guide" TargetMode="External" /><Relationship Type="http://schemas.openxmlformats.org/officeDocument/2006/relationships/hyperlink" Id="rId28" Target="https://disolutions.net/blog/building-multi-tenant-saas-healthcare-platforms-cto-guide#:~:text=Examples%20of%20Multi" TargetMode="External" /><Relationship Type="http://schemas.openxmlformats.org/officeDocument/2006/relationships/hyperlink" Id="rId58" Target="https://makerkit.dev/blog/tutorials/supabase-rls-best-practices" TargetMode="External" /><Relationship Type="http://schemas.openxmlformats.org/officeDocument/2006/relationships/hyperlink" Id="rId41" Target="https://makerkit.dev/blog/tutorials/supabase-rls-best-practices#:~:text=,your%20database%20to%20untrusted%20clients" TargetMode="External" /><Relationship Type="http://schemas.openxmlformats.org/officeDocument/2006/relationships/hyperlink" Id="rId25" Target="https://makerkit.dev/blog/tutorials/supabase-rls-best-practices#:~:text=1,Policies" TargetMode="External" /><Relationship Type="http://schemas.openxmlformats.org/officeDocument/2006/relationships/hyperlink" Id="rId47" Target="https://makerkit.dev/blog/tutorials/supabase-rls-best-practices#:~:text=JWT%20claims%20in%20,Don%27t%20use%20them%20for%20authorization" TargetMode="External" /><Relationship Type="http://schemas.openxmlformats.org/officeDocument/2006/relationships/hyperlink" Id="rId23" Target="https://makerkit.dev/blog/tutorials/supabase-rls-best-practices#:~:text=Row%20Level%20Security%20,API%20in%20Supabase%20or%20PostgREST" TargetMode="External" /><Relationship Type="http://schemas.openxmlformats.org/officeDocument/2006/relationships/hyperlink" Id="rId59" Target="https://support.zendesk.com/hc/en-us/articles/4408832509338-Zendesk-Support-scalability-and-performance-Technical-architecture" TargetMode="External" /><Relationship Type="http://schemas.openxmlformats.org/officeDocument/2006/relationships/hyperlink" Id="rId38" Target="https://support.zendesk.com/hc/en-us/articles/4408832509338-Zendesk-Support-scalability-and-performance-Technical-architecture#:~:text=A%20pod%20architecture%20design" TargetMode="External" /><Relationship Type="http://schemas.openxmlformats.org/officeDocument/2006/relationships/hyperlink" Id="rId24" Target="https://support.zendesk.com/hc/en-us/articles/4408832509338-Zendesk-Support-scalability-and-performance-Technical-architecture#:~:text=The%20building%20blocks%20of%20each,database%20cluster%20to%20the%20customer" TargetMode="External" /><Relationship Type="http://schemas.openxmlformats.org/officeDocument/2006/relationships/hyperlink" Id="rId37" Target="https://support.zendesk.com/hc/en-us/articles/4408832509338-Zendesk-Support-scalability-and-performance-Technical-architecture#:~:text=Zendesk%20Support%20uses%20a%20fully,sustaining%20instances%20of%20the%20application" TargetMode="External" /><Relationship Type="http://schemas.openxmlformats.org/officeDocument/2006/relationships/hyperlink" Id="rId60" Target="https://www.athenahealth.com/resources/blog/ai-native-ambulatory-care" TargetMode="External" /><Relationship Type="http://schemas.openxmlformats.org/officeDocument/2006/relationships/hyperlink" Id="rId26" Target="https://www.athenahealth.com/resources/blog/ai-native-ambulatory-care#:~:text=Delivered%20to%20160%2C000%20ambulatory%20providers,instance%20platform" TargetMode="External" /><Relationship Type="http://schemas.openxmlformats.org/officeDocument/2006/relationships/hyperlink" Id="rId61" Target="https://www.athenahealth.com/resources/blog/what-is-ai-native-ehr" TargetMode="External" /><Relationship Type="http://schemas.openxmlformats.org/officeDocument/2006/relationships/hyperlink" Id="rId27" Target="https://www.athenahealth.com/resources/blog/what-is-ai-native-ehr#:~:text=athenaOne%C2%AE%3A%20The%20AI,for%20ambulatory%20care" TargetMode="External" /><Relationship Type="http://schemas.openxmlformats.org/officeDocument/2006/relationships/hyperlink" Id="rId63" Target="https://www.curvedental.com/blog/open-dental-vs-curve-dental" TargetMode="External" /><Relationship Type="http://schemas.openxmlformats.org/officeDocument/2006/relationships/hyperlink" Id="rId30" Target="https://www.curvedental.com/blog/open-dental-vs-curve-dental#:~:text=Category%20Open%20Dental%20Curve%20Dental,in%2C%20encrypted%20backups%20with%20AWS" TargetMode="External" /><Relationship Type="http://schemas.openxmlformats.org/officeDocument/2006/relationships/hyperlink" Id="rId64" Target="https://www.dentrixascend.com/articles/show/5055" TargetMode="External" /><Relationship Type="http://schemas.openxmlformats.org/officeDocument/2006/relationships/hyperlink" Id="rId31" Target="https://www.dentrixascend.com/articles/show/5055#:~:text=Dentrix%20Ascend%20from%20Henry%20Schein,scalability%20as%20your%20organization%20grow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2026-01-30T19:30:30Z</dcterms:created>
  <dcterms:modified xsi:type="dcterms:W3CDTF">2026-01-30T19:30:30Z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