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F5" w:rsidRDefault="00EA13A1">
      <w:bookmarkStart w:id="0" w:name="_GoBack"/>
      <w:r w:rsidRPr="00797660">
        <w:t>2-a</w:t>
      </w:r>
    </w:p>
    <w:p w:rsidR="003D00E4" w:rsidRPr="00797660" w:rsidRDefault="003D00E4">
      <w:r>
        <w:t>In this section, parameters are chosen according to the designed controller in part c.</w:t>
      </w:r>
    </w:p>
    <w:p w:rsidR="00EA13A1" w:rsidRPr="00797660" w:rsidRDefault="00EA13A1">
      <w:r w:rsidRPr="0079766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0671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3A1" w:rsidRPr="00797660" w:rsidRDefault="00EA13A1"/>
    <w:p w:rsidR="00EA13A1" w:rsidRPr="00797660" w:rsidRDefault="00EA13A1"/>
    <w:p w:rsidR="00EA13A1" w:rsidRPr="00797660" w:rsidRDefault="00EA13A1"/>
    <w:p w:rsidR="00EA13A1" w:rsidRPr="00797660" w:rsidRDefault="00EA13A1"/>
    <w:p w:rsidR="00EA13A1" w:rsidRPr="00797660" w:rsidRDefault="00EA13A1"/>
    <w:p w:rsidR="00EA13A1" w:rsidRPr="00797660" w:rsidRDefault="00EA13A1"/>
    <w:p w:rsidR="00EA13A1" w:rsidRPr="00797660" w:rsidRDefault="00EA13A1"/>
    <w:p w:rsidR="00EA13A1" w:rsidRPr="00797660" w:rsidRDefault="00EA13A1"/>
    <w:p w:rsidR="00EA13A1" w:rsidRPr="00797660" w:rsidRDefault="00EA13A1">
      <w:r w:rsidRPr="00797660">
        <w:rPr>
          <w:b/>
        </w:rPr>
        <w:tab/>
      </w:r>
      <w:r w:rsidRPr="00797660">
        <w:rPr>
          <w:b/>
        </w:rPr>
        <w:tab/>
      </w:r>
      <w:r w:rsidRPr="00797660">
        <w:rPr>
          <w:b/>
        </w:rPr>
        <w:tab/>
      </w:r>
      <w:r w:rsidRPr="00797660">
        <w:rPr>
          <w:b/>
        </w:rPr>
        <w:tab/>
        <w:t>Figure1.</w:t>
      </w:r>
      <w:r w:rsidRPr="00797660">
        <w:t xml:space="preserve"> Type 2 controller.</w:t>
      </w:r>
    </w:p>
    <w:p w:rsidR="00EA13A1" w:rsidRPr="00797660" w:rsidRDefault="00EA13A1">
      <w:r w:rsidRPr="00797660">
        <w:t>Transfer function is C</w:t>
      </w:r>
      <w:r w:rsidRPr="00797660">
        <w:rPr>
          <w:vertAlign w:val="subscript"/>
        </w:rPr>
        <w:t>1</w:t>
      </w:r>
    </w:p>
    <w:p w:rsidR="00EA13A1" w:rsidRPr="00797660" w:rsidRDefault="003D00E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Vo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R2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C2s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*R1=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Vi</m:t>
          </m:r>
        </m:oMath>
      </m:oMathPara>
    </w:p>
    <w:p w:rsidR="0065558F" w:rsidRPr="00797660" w:rsidRDefault="00EA13A1" w:rsidP="0065558F">
      <w:pPr>
        <w:rPr>
          <w:rFonts w:eastAsiaTheme="minorEastAsia"/>
        </w:rPr>
      </w:pPr>
      <w:r w:rsidRPr="00797660">
        <w:rPr>
          <w:rFonts w:eastAsia="Times New Roman" w:cs="Times New Roman"/>
        </w:rPr>
        <w:tab/>
      </w:r>
      <w:r w:rsidRPr="00797660">
        <w:rPr>
          <w:rFonts w:eastAsia="Times New Roman" w:cs="Times New Roman"/>
        </w:rPr>
        <w:tab/>
      </w:r>
      <w:r w:rsidRPr="00797660">
        <w:rPr>
          <w:rFonts w:eastAsia="Times New Roman" w:cs="Times New Roman"/>
        </w:rPr>
        <w:tab/>
      </w:r>
      <w:r w:rsidRPr="00797660">
        <w:rPr>
          <w:rFonts w:eastAsia="Times New Roman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(1+sC2R2)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C1+C2</m:t>
                  </m:r>
                </m:e>
              </m:d>
              <m:r>
                <w:rPr>
                  <w:rFonts w:ascii="Cambria Math" w:hAnsi="Cambria Math"/>
                </w:rPr>
                <m:t>R1s+C1R2C2R1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hAnsi="Cambria Math"/>
                </w:rPr>
                <m:t>vi</m:t>
              </m:r>
            </m:den>
          </m:f>
        </m:oMath>
      </m:oMathPara>
    </w:p>
    <w:p w:rsidR="0065558F" w:rsidRPr="00797660" w:rsidRDefault="0065558F" w:rsidP="0065558F">
      <w:r w:rsidRPr="00797660">
        <w:t xml:space="preserve">Let’s equate this transfer function to </w:t>
      </w:r>
      <w:proofErr w:type="gramStart"/>
      <w:r w:rsidRPr="00797660">
        <w:t>the our</w:t>
      </w:r>
      <w:proofErr w:type="gramEnd"/>
      <w:r w:rsidRPr="00797660">
        <w:t xml:space="preserve"> controller in part c.</w:t>
      </w:r>
    </w:p>
    <w:p w:rsidR="0065558F" w:rsidRPr="0062446B" w:rsidRDefault="0062446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hAnsi="Cambria Math"/>
                </w:rPr>
                <m:t>Vi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s+909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s+110000</m:t>
              </m:r>
            </m:den>
          </m:f>
          <m:r>
            <w:rPr>
              <w:rFonts w:ascii="Cambria Math" w:hAnsi="Cambria Math"/>
            </w:rPr>
            <m:t>*21*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s+909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*4.33*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+476.2s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s+1</m:t>
              </m:r>
            </m:num>
            <m:den>
              <m:r>
                <w:rPr>
                  <w:rFonts w:ascii="Cambria Math" w:eastAsiaTheme="minorEastAsia" w:hAnsi="Cambria Math"/>
                </w:rPr>
                <m:t>4.76*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+0.52s</m:t>
              </m:r>
            </m:den>
          </m:f>
        </m:oMath>
      </m:oMathPara>
    </w:p>
    <w:p w:rsidR="0062446B" w:rsidRPr="0062446B" w:rsidRDefault="0062446B">
      <w:pPr>
        <w:rPr>
          <w:rFonts w:eastAsiaTheme="minorEastAsia"/>
        </w:rPr>
      </w:pPr>
    </w:p>
    <w:p w:rsidR="00A441F9" w:rsidRPr="00797660" w:rsidRDefault="00A441F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C2R2=</m:t>
          </m:r>
          <m:r>
            <w:rPr>
              <w:rFonts w:ascii="Cambria Math" w:hAnsi="Cambria Math"/>
            </w:rPr>
            <m:t>1.1*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A441F9" w:rsidRPr="00797660" w:rsidRDefault="00A441F9">
      <w:r w:rsidRPr="00797660">
        <w:t>Let</w:t>
      </w:r>
      <w:r w:rsidR="00D06552" w:rsidRPr="00797660">
        <w:t>’</w:t>
      </w:r>
      <w:r w:rsidRPr="00797660">
        <w:t xml:space="preserve">s </w:t>
      </w:r>
    </w:p>
    <w:p w:rsidR="00A441F9" w:rsidRPr="00797660" w:rsidRDefault="00A441F9" w:rsidP="00A441F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:rsidR="00A441F9" w:rsidRPr="00797660" w:rsidRDefault="00A441F9" w:rsidP="00A441F9">
      <w:pPr>
        <w:rPr>
          <w:rFonts w:eastAsiaTheme="minorEastAsia"/>
        </w:rPr>
      </w:pPr>
      <w:r w:rsidRPr="00797660">
        <w:rPr>
          <w:rFonts w:eastAsiaTheme="minorEastAsia"/>
        </w:rPr>
        <w:t>R2=</w:t>
      </w:r>
      <w:r w:rsidR="0062446B">
        <w:rPr>
          <w:rFonts w:eastAsiaTheme="minorEastAsia"/>
        </w:rPr>
        <w:t>1.1</w:t>
      </w:r>
      <w:r w:rsidR="0064313B" w:rsidRPr="00797660">
        <w:rPr>
          <w:rFonts w:eastAsiaTheme="minorEastAsia"/>
        </w:rPr>
        <w:t>K</w:t>
      </w:r>
      <w:r w:rsidRPr="00797660">
        <w:rPr>
          <w:rFonts w:eastAsiaTheme="minorEastAsia"/>
        </w:rPr>
        <w:t>ohm</w:t>
      </w:r>
    </w:p>
    <w:p w:rsidR="00A441F9" w:rsidRPr="00797660" w:rsidRDefault="00A441F9" w:rsidP="00643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C1R1=4.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D319D" w:rsidRPr="00797660" w:rsidRDefault="003D319D" w:rsidP="0064313B">
      <w:pPr>
        <w:rPr>
          <w:rFonts w:eastAsiaTheme="minorEastAsia"/>
        </w:rPr>
      </w:pPr>
      <w:proofErr w:type="spellStart"/>
      <w:r w:rsidRPr="00797660">
        <w:t>Lets</w:t>
      </w:r>
      <w:proofErr w:type="spellEnd"/>
      <w:r w:rsidRPr="00797660">
        <w:t xml:space="preserve"> R1=</w:t>
      </w:r>
      <w:r w:rsidR="0062446B">
        <w:t>500</w:t>
      </w:r>
      <w:r w:rsidRPr="00797660">
        <w:t>Kohm</w:t>
      </w:r>
    </w:p>
    <w:p w:rsidR="003D319D" w:rsidRPr="00797660" w:rsidRDefault="003D319D" w:rsidP="0064313B">
      <w:pPr>
        <w:rPr>
          <w:rFonts w:eastAsiaTheme="minorEastAsia"/>
        </w:rPr>
      </w:pPr>
      <w:r w:rsidRPr="00797660">
        <w:t>C1=</w:t>
      </w:r>
      <m:oMath>
        <m:r>
          <w:rPr>
            <w:rFonts w:ascii="Cambria Math" w:hAnsi="Cambria Math"/>
          </w:rPr>
          <m:t>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Pr="00797660">
        <w:rPr>
          <w:rFonts w:eastAsiaTheme="minorEastAsia"/>
        </w:rPr>
        <w:t>F</w:t>
      </w:r>
    </w:p>
    <w:p w:rsidR="00797660" w:rsidRPr="00797660" w:rsidRDefault="00797660" w:rsidP="0064313B">
      <w:pPr>
        <w:rPr>
          <w:rFonts w:eastAsiaTheme="minorEastAsia"/>
        </w:rPr>
      </w:pPr>
      <w:r w:rsidRPr="00797660">
        <w:rPr>
          <w:rFonts w:eastAsiaTheme="minorEastAsia"/>
        </w:rPr>
        <w:t>In this system we have 2 poles and 1 zero. In addition, one of the poles is on the center of coordinate system other one is on the left side of the imaginary axis. This means open loop system is not stable</w:t>
      </w:r>
      <w:r>
        <w:rPr>
          <w:rFonts w:eastAsiaTheme="minorEastAsia"/>
        </w:rPr>
        <w:t>. However, in order to ensure the stability, we need to use this topology on closed loop systems.</w:t>
      </w:r>
    </w:p>
    <w:p w:rsidR="006923C9" w:rsidRPr="00797660" w:rsidRDefault="006923C9" w:rsidP="0064313B">
      <w:r w:rsidRPr="00797660">
        <w:t xml:space="preserve">Bode plot of the controller is on following </w:t>
      </w:r>
      <w:r w:rsidR="00F72983" w:rsidRPr="00797660">
        <w:t>figure.</w:t>
      </w:r>
    </w:p>
    <w:p w:rsidR="00F72983" w:rsidRDefault="00F72983" w:rsidP="0064313B">
      <w:r w:rsidRPr="00797660">
        <w:rPr>
          <w:noProof/>
        </w:rPr>
        <w:lastRenderedPageBreak/>
        <w:drawing>
          <wp:inline distT="0" distB="0" distL="0" distR="0">
            <wp:extent cx="5238750" cy="3886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60" w:rsidRDefault="00797660" w:rsidP="0064313B">
      <w:r>
        <w:tab/>
      </w:r>
      <w:r>
        <w:tab/>
      </w:r>
      <w:r w:rsidR="00714174">
        <w:tab/>
      </w:r>
      <w:r w:rsidRPr="00797660">
        <w:rPr>
          <w:b/>
        </w:rPr>
        <w:t>Figure 1.</w:t>
      </w:r>
      <w:r>
        <w:t xml:space="preserve"> Bode plot of the system</w:t>
      </w:r>
      <w:r w:rsidR="00714174">
        <w:t xml:space="preserve"> with given values.</w:t>
      </w:r>
    </w:p>
    <w:p w:rsidR="00797660" w:rsidRDefault="00714174" w:rsidP="0064313B">
      <w:r>
        <w:t>In this bode plot, cut of frequency is almost equal to 1 and phase margin is 90 degrees. When we use this controller with a system, the system’s phase will increase around 10^4rad/s and the system’s gain will decreases gradually as frequency increase.</w:t>
      </w:r>
    </w:p>
    <w:p w:rsidR="00714174" w:rsidRDefault="00714174" w:rsidP="0064313B">
      <w:r>
        <w:t>2</w:t>
      </w:r>
      <w:r w:rsidR="0062446B">
        <w:t>b</w:t>
      </w:r>
      <w:r>
        <w:t>)</w:t>
      </w:r>
    </w:p>
    <w:p w:rsidR="0062446B" w:rsidRDefault="003D00E4" w:rsidP="0064313B">
      <w:r>
        <w:t>Type 2 controller c</w:t>
      </w:r>
      <w:r w:rsidR="0062446B">
        <w:t>ircuit is designed via using PSIM</w:t>
      </w:r>
      <w:r>
        <w:t xml:space="preserve"> and in the following figure 2</w:t>
      </w:r>
      <w:r w:rsidR="0062446B">
        <w:t xml:space="preserve">. </w:t>
      </w:r>
    </w:p>
    <w:p w:rsidR="003D00E4" w:rsidRDefault="003D00E4" w:rsidP="0064313B">
      <w:r>
        <w:rPr>
          <w:noProof/>
        </w:rPr>
        <w:drawing>
          <wp:inline distT="0" distB="0" distL="0" distR="0">
            <wp:extent cx="5048250" cy="2819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E4" w:rsidRDefault="003D00E4" w:rsidP="0064313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0E4">
        <w:rPr>
          <w:b/>
        </w:rPr>
        <w:t>Figure2.</w:t>
      </w:r>
      <w:r>
        <w:t xml:space="preserve"> Type 2 controller</w:t>
      </w:r>
    </w:p>
    <w:p w:rsidR="003D00E4" w:rsidRDefault="003D00E4" w:rsidP="0064313B">
      <w:r>
        <w:lastRenderedPageBreak/>
        <w:t>Bode plot characteristic of the controller is on figure 3.</w:t>
      </w:r>
    </w:p>
    <w:p w:rsidR="003D00E4" w:rsidRDefault="003D00E4" w:rsidP="0064313B">
      <w:r>
        <w:rPr>
          <w:noProof/>
        </w:rPr>
        <w:drawing>
          <wp:inline distT="0" distB="0" distL="0" distR="0">
            <wp:extent cx="5753100" cy="2647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E4" w:rsidRPr="00797660" w:rsidRDefault="003D00E4" w:rsidP="0064313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0E4">
        <w:rPr>
          <w:b/>
        </w:rPr>
        <w:t>Figure 3</w:t>
      </w:r>
      <w:r>
        <w:t>. Bode plot of the controller via using PSIM.</w:t>
      </w:r>
      <w:bookmarkEnd w:id="0"/>
    </w:p>
    <w:sectPr w:rsidR="003D00E4" w:rsidRPr="0079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A1"/>
    <w:rsid w:val="00030DC2"/>
    <w:rsid w:val="002C199D"/>
    <w:rsid w:val="003D00E4"/>
    <w:rsid w:val="003D319D"/>
    <w:rsid w:val="0042370E"/>
    <w:rsid w:val="004A2DB8"/>
    <w:rsid w:val="004C187D"/>
    <w:rsid w:val="0062446B"/>
    <w:rsid w:val="0064313B"/>
    <w:rsid w:val="0065558F"/>
    <w:rsid w:val="006923C9"/>
    <w:rsid w:val="00714174"/>
    <w:rsid w:val="00797660"/>
    <w:rsid w:val="00822D14"/>
    <w:rsid w:val="00A441F9"/>
    <w:rsid w:val="00A77C8D"/>
    <w:rsid w:val="00B15DF5"/>
    <w:rsid w:val="00CD3845"/>
    <w:rsid w:val="00CE3B88"/>
    <w:rsid w:val="00CE67A5"/>
    <w:rsid w:val="00D06552"/>
    <w:rsid w:val="00DB4514"/>
    <w:rsid w:val="00EA13A1"/>
    <w:rsid w:val="00EC3818"/>
    <w:rsid w:val="00F7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A27B"/>
  <w15:chartTrackingRefBased/>
  <w15:docId w15:val="{C2ABC703-5042-4E1A-8E38-C671C20C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1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2</cp:revision>
  <dcterms:created xsi:type="dcterms:W3CDTF">2018-04-19T15:52:00Z</dcterms:created>
  <dcterms:modified xsi:type="dcterms:W3CDTF">2018-04-20T12:06:00Z</dcterms:modified>
</cp:coreProperties>
</file>