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Enterprise AI-Native PCB Defect Inspection — User Journeys, Workflows &amp; Process Gaps</w:t>
      </w:r>
    </w:p>
    <w:p>
      <w:pPr>
        <w:pStyle w:val="Subtitle"/>
      </w:pPr>
      <w:r>
        <w:t xml:space="preserve">Architecture Review: Actors, End-to-End Journeys, Core Workflows and Open Questions</w:t>
      </w:r>
    </w:p>
    <w:p>
      <w:pPr>
        <w:pStyle w:val="Normal"/>
      </w:pPr>
      <w:r>
        <w:t xml:space="preserve">Source artifact: AI_NATIVE_SOLUTION_ARCHITECTURE_INFOGRAPHIC.png — "Enterprise AI-Native PCB Defect Inspection Architecture" (Model-Driven | Probabilistic | Adaptive | Human in the Loop). Diagram status: Proposed design — validation required.</w:t>
      </w:r>
    </w:p>
    <w:p>
      <w:pPr>
        <w:pStyle w:val="Normal"/>
      </w:pPr>
      <w:r>
        <w:t xml:space="preserve">Prepared for: Solution Architecture Review / SRS &amp; Proposal input</w:t>
      </w:r>
    </w:p>
    <w:p>
      <w:pPr>
        <w:pStyle w:val="Normal"/>
      </w:pPr>
      <w:r>
        <w:t xml:space="preserve">Prepared by: AI-Native Solution Architecture function</w:t>
      </w:r>
    </w:p>
    <w:p>
      <w:pPr>
        <w:pStyle w:val="Normal"/>
      </w:pPr>
      <w:r>
        <w:t xml:space="preserve">Document owner: info@capricon.lk</w:t>
      </w:r>
    </w:p>
    <w:p>
      <w:pPr>
        <w:pStyle w:val="Normal"/>
      </w:pPr>
      <w:r>
        <w:t xml:space="preserve">Version: 1.0</w:t>
      </w:r>
    </w:p>
    <w:p>
      <w:pPr>
        <w:pStyle w:val="Normal"/>
      </w:pPr>
      <w:r>
        <w:t xml:space="preserve">Status: Draft for stakeholder / BA validation</w:t>
      </w:r>
    </w:p>
    <w:p>
      <w:pPr>
        <w:pStyle w:val="Heading1"/>
      </w:pPr>
      <w:r>
        <w:t xml:space="preserve">0. Purpose and Method</w:t>
      </w:r>
    </w:p>
    <w:p>
      <w:pPr>
        <w:pStyle w:val="Normal"/>
      </w:pPr>
      <w:r>
        <w:t xml:space="preserve">This document decomposes the reference architecture into (1) the actors and their end-to-end journeys through the system, (2) the core business and system workflows implied by the eleven architectural layers and six Quality Gates (QG-1–QG-6), and (3) the process, ownership and control gaps that cannot be resolved from the diagram alone.</w:t>
      </w:r>
    </w:p>
    <w:p>
      <w:pPr>
        <w:pStyle w:val="Normal"/>
      </w:pPr>
      <w:r>
        <w:t xml:space="preserve">Method and constraints applied:</w:t>
      </w:r>
    </w:p>
    <w:p>
      <w:pPr>
        <w:pStyle w:val="ListParagraph"/>
      </w:pPr>
      <w:r>
        <w:t xml:space="preserve">• Every journey and workflow step below is traced to a specific labelled element in the source diagram (layer name, gate, or panel).</w:t>
      </w:r>
    </w:p>
    <w:p>
      <w:pPr>
        <w:pStyle w:val="ListParagraph"/>
      </w:pPr>
      <w:r>
        <w:t xml:space="preserve">• No industry-standard defaults have been assumed where the diagram is silent (e.g., SLAs, retry limits, retention periods). Such items are listed as open questions in Section 3, not resolved by assumption.</w:t>
      </w:r>
    </w:p>
    <w:p>
      <w:pPr>
        <w:pStyle w:val="ListParagraph"/>
      </w:pPr>
      <w:r>
        <w:t xml:space="preserve">• Vendor-delivered platform capabilities (Layers 1–11, Quality Gates, Failure Handling, Observability) are kept distinct from client-owned business decisions (policy thresholds, BRD review authority, compliance sign-off), consistent with the diagram's Edge (factory/on-prem) vs. Enterprise (central platform) separation.</w:t>
      </w:r>
    </w:p>
    <w:p>
      <w:pPr>
        <w:pStyle w:val="Heading1"/>
      </w:pPr>
      <w:r>
        <w:t xml:space="preserve">1. User Journeys</w:t>
      </w:r>
    </w:p>
    <w:p>
      <w:pPr>
        <w:pStyle w:val="Heading2"/>
      </w:pPr>
      <w:r>
        <w:t xml:space="preserve">1.1 Actor Inventory</w:t>
      </w:r>
    </w:p>
    <w:p>
      <w:pPr>
        <w:pStyle w:val="Normal"/>
      </w:pPr>
      <w:r>
        <w:t xml:space="preserve">The diagram depicts or clearly implies the following distinct actors. Each is classified by type (human role vs. automated/system actor) and by home layer.</w:t>
      </w:r>
    </w:p>
    <w:tbl>
      <w:tblPr>
        <w:tblW w:w="10460" w:type="dxa"/>
        <w:tblBorders>
          <w:top w:val="single" w:sz="4" w:color="CCD7E0"/>
          <w:left w:val="single" w:sz="4" w:color="CCD7E0"/>
          <w:bottom w:val="single" w:sz="4" w:color="CCD7E0"/>
          <w:right w:val="single" w:sz="4" w:color="CCD7E0"/>
          <w:insideH w:val="single" w:sz="4" w:color="CCD7E0"/>
          <w:insideV w:val="single" w:sz="4" w:color="CCD7E0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092"/>
        <w:gridCol w:w="2092"/>
        <w:gridCol w:w="2092"/>
        <w:gridCol w:w="2092"/>
        <w:gridCol w:w="2092"/>
      </w:tblGrid>
      <w:tr>
        <w:trPr>
          <w:tblHeader/>
        </w:trPr>
        <w:tc>
          <w:tcPr>
            <w:tcW w:w="2092" w:type="dxa"/>
            <w:shd w:fill="173B57"/>
            <w:vAlign w:val="top"/>
          </w:tcPr>
          <w:p>
            <w:pPr>
              <w:pStyle w:val="TableHead"/>
            </w:pPr>
            <w:r>
              <w:t xml:space="preserve">#</w:t>
            </w:r>
          </w:p>
        </w:tc>
        <w:tc>
          <w:tcPr>
            <w:tcW w:w="2092" w:type="dxa"/>
            <w:shd w:fill="173B57"/>
            <w:vAlign w:val="top"/>
          </w:tcPr>
          <w:p>
            <w:pPr>
              <w:pStyle w:val="TableHead"/>
            </w:pPr>
            <w:r>
              <w:t xml:space="preserve">Actor</w:t>
            </w:r>
          </w:p>
        </w:tc>
        <w:tc>
          <w:tcPr>
            <w:tcW w:w="2092" w:type="dxa"/>
            <w:shd w:fill="173B57"/>
            <w:vAlign w:val="top"/>
          </w:tcPr>
          <w:p>
            <w:pPr>
              <w:pStyle w:val="TableHead"/>
            </w:pPr>
            <w:r>
              <w:t xml:space="preserve">Type</w:t>
            </w:r>
          </w:p>
        </w:tc>
        <w:tc>
          <w:tcPr>
            <w:tcW w:w="2092" w:type="dxa"/>
            <w:shd w:fill="173B57"/>
            <w:vAlign w:val="top"/>
          </w:tcPr>
          <w:p>
            <w:pPr>
              <w:pStyle w:val="TableHead"/>
            </w:pPr>
            <w:r>
              <w:t xml:space="preserve">Primary Layer(s)</w:t>
            </w:r>
          </w:p>
        </w:tc>
        <w:tc>
          <w:tcPr>
            <w:tcW w:w="2092" w:type="dxa"/>
            <w:shd w:fill="173B57"/>
            <w:vAlign w:val="top"/>
          </w:tcPr>
          <w:p>
            <w:pPr>
              <w:pStyle w:val="TableHead"/>
            </w:pPr>
            <w:r>
              <w:t xml:space="preserve">Evidence in Diagram</w:t>
            </w:r>
          </w:p>
        </w:tc>
      </w:tr>
      <w:tr>
        <w:trPr/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A1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Line / Factory Operator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Human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1 – Data Capture &amp; Ingestion (Edge)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Cameras, Board ID scanner/PLC, Line adapter interactions, "bounded re-capture" on QG-1 failure</w:t>
            </w:r>
          </w:p>
        </w:tc>
      </w:tr>
      <w:tr>
        <w:trPr/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A2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Edge AI System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Automated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2 – Edge AI Processing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Preprocess, Edge Inference, QG-2, local decision (layers 5–6 only)</w:t>
            </w:r>
          </w:p>
        </w:tc>
      </w:tr>
      <w:tr>
        <w:trPr/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A3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Enterprise AI Model Orchestration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Automated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4 – AI Model Layer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Approved model orchestration, vision pipeline, specialized models</w:t>
            </w:r>
          </w:p>
        </w:tc>
      </w:tr>
      <w:tr>
        <w:trPr/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A4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Probabilistic Risk Engine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Automated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5 – Probabilistic Reasoning &amp; Risk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Evidence aggregation, calibration, uncertainty, risk assessment</w:t>
            </w:r>
          </w:p>
        </w:tc>
      </w:tr>
      <w:tr>
        <w:trPr/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A5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Decision Engine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Automated (policy-driven)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6 – Decision Layer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Product-specific rules/thresholds, QG-4, PASS/HOLD/REJECT</w:t>
            </w:r>
          </w:p>
        </w:tc>
      </w:tr>
      <w:tr>
        <w:trPr/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A6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Human Reviewer / Inspector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Human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7 – Human-in-the-Loop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Review queue, annotation + review, QG-5, second reviewer path</w:t>
            </w:r>
          </w:p>
        </w:tc>
      </w:tr>
      <w:tr>
        <w:trPr/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A7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BRD Reviewer / Business Approver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Human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6 – Decision Layer (HOLD → BRD REVIEW, REJECT → BRD FAIL)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"Physical action approved" gate distinct from QG-5 labeling</w:t>
            </w:r>
          </w:p>
        </w:tc>
      </w:tr>
      <w:tr>
        <w:trPr/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A8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ML Engineer / Data Scientist (MLOps)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Human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8 – Model Lifecycle &amp; MLOps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Train &amp; experiment, QG-6, "AI-assisted engineering → Human review → CI/evaluation"</w:t>
            </w:r>
          </w:p>
        </w:tc>
      </w:tr>
      <w:tr>
        <w:trPr/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A9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Platform Owner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Human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9 – Observability, Operations &amp; AI-Native Hosting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"approve exceptions / suspend," incident response</w:t>
            </w:r>
          </w:p>
        </w:tc>
      </w:tr>
      <w:tr>
        <w:trPr/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A10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Compliance / Governance Administrator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Human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10 – Governance, Security &amp; Compliance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RBAC/access control, model governance approvals, compliance evidence</w:t>
            </w:r>
          </w:p>
        </w:tc>
      </w:tr>
      <w:tr>
        <w:trPr/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A11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Operator / Inspector / Manager (UI consumer)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Human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11 – Adaptive UI Layer</w:t>
            </w:r>
          </w:p>
        </w:tc>
        <w:tc>
          <w:tcPr>
            <w:tcW w:w="2092" w:type="dxa"/>
            <w:shd w:fill="F0F5F8"/>
            <w:vAlign w:val="top"/>
          </w:tcPr>
          <w:p>
            <w:pPr>
              <w:pStyle w:val="TableText"/>
            </w:pPr>
            <w:r>
              <w:t xml:space="preserve">Explicitly named: "operators, inspectors and managers"</w:t>
            </w:r>
          </w:p>
        </w:tc>
      </w:tr>
      <w:tr>
        <w:trPr/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A12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Edge–Enterprise Synchronization Service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Automated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Layer 3 (shared) + Edge-Enterprise Collaboration panel</w:t>
            </w:r>
          </w:p>
        </w:tc>
        <w:tc>
          <w:tcPr>
            <w:tcW w:w="2092" w:type="dxa"/>
            <w:shd w:fill="FFFFFF"/>
            <w:vAlign w:val="top"/>
          </w:tcPr>
          <w:p>
            <w:pPr>
              <w:pStyle w:val="TableText"/>
            </w:pPr>
            <w:r>
              <w:t xml:space="preserve">Factory-initiated uploads &amp; polling, offline approved cache, mTLS sync</w:t>
            </w:r>
          </w:p>
        </w:tc>
      </w:tr>
    </w:tbl>
    <w:p>
      <w:pPr>
        <w:pStyle w:val="Normal"/>
      </w:pPr>
    </w:p>
    <w:p>
      <w:pPr>
        <w:pStyle w:val="Quote"/>
      </w:pPr>
      <w:r>
        <w:t xml:space="preserve">Note: A6 (label/annotation reviewer) and A7 (BRD reviewer) are shown as separate gates in the diagram (QG-5 vs. BRD Review/Fail) but their organizational relationship is not defined — see Gap 1.</w:t>
      </w:r>
    </w:p>
    <w:p>
      <w:pPr>
        <w:pStyle w:val="Heading2"/>
      </w:pPr>
      <w:r>
        <w:t xml:space="preserve">1.2 End-to-End Journeys</w:t>
      </w:r>
    </w:p>
    <w:tbl>
      <w:tblPr>
        <w:tblW w:w="10460" w:type="dxa"/>
        <w:tblBorders>
          <w:top w:val="single" w:sz="4" w:color="CCD7E0"/>
          <w:left w:val="single" w:sz="4" w:color="CCD7E0"/>
          <w:bottom w:val="single" w:sz="4" w:color="CCD7E0"/>
          <w:right w:val="single" w:sz="4" w:color="CCD7E0"/>
          <w:insideH w:val="single" w:sz="4" w:color="CCD7E0"/>
          <w:insideV w:val="single" w:sz="4" w:color="CCD7E0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blHeader/>
        </w:trPr>
        <w:tc>
          <w:tcPr>
            <w:tcW w:w="1743" w:type="dxa"/>
            <w:shd w:fill="173B57"/>
            <w:vAlign w:val="top"/>
          </w:tcPr>
          <w:p>
            <w:pPr>
              <w:pStyle w:val="TableHead"/>
            </w:pPr>
            <w:r>
              <w:t xml:space="preserve">Actor</w:t>
            </w:r>
          </w:p>
        </w:tc>
        <w:tc>
          <w:tcPr>
            <w:tcW w:w="1743" w:type="dxa"/>
            <w:shd w:fill="173B57"/>
            <w:vAlign w:val="top"/>
          </w:tcPr>
          <w:p>
            <w:pPr>
              <w:pStyle w:val="TableHead"/>
            </w:pPr>
            <w:r>
              <w:t xml:space="preserve">Entry Point</w:t>
            </w:r>
          </w:p>
        </w:tc>
        <w:tc>
          <w:tcPr>
            <w:tcW w:w="1743" w:type="dxa"/>
            <w:shd w:fill="173B57"/>
            <w:vAlign w:val="top"/>
          </w:tcPr>
          <w:p>
            <w:pPr>
              <w:pStyle w:val="TableHead"/>
            </w:pPr>
            <w:r>
              <w:t xml:space="preserve">Key Interactions</w:t>
            </w:r>
          </w:p>
        </w:tc>
        <w:tc>
          <w:tcPr>
            <w:tcW w:w="1743" w:type="dxa"/>
            <w:shd w:fill="173B57"/>
            <w:vAlign w:val="top"/>
          </w:tcPr>
          <w:p>
            <w:pPr>
              <w:pStyle w:val="TableHead"/>
            </w:pPr>
            <w:r>
              <w:t xml:space="preserve">Decision Points</w:t>
            </w:r>
          </w:p>
        </w:tc>
        <w:tc>
          <w:tcPr>
            <w:tcW w:w="1743" w:type="dxa"/>
            <w:shd w:fill="173B57"/>
            <w:vAlign w:val="top"/>
          </w:tcPr>
          <w:p>
            <w:pPr>
              <w:pStyle w:val="TableHead"/>
            </w:pPr>
            <w:r>
              <w:t xml:space="preserve">Exit / Outcome</w:t>
            </w:r>
          </w:p>
        </w:tc>
        <w:tc>
          <w:tcPr>
            <w:tcW w:w="1743" w:type="dxa"/>
            <w:shd w:fill="173B57"/>
            <w:vAlign w:val="top"/>
          </w:tcPr>
          <w:p>
            <w:pPr>
              <w:pStyle w:val="TableHead"/>
            </w:pPr>
            <w:r>
              <w:t xml:space="preserve">Layers Touched</w:t>
            </w:r>
          </w:p>
        </w:tc>
      </w:tr>
      <w:tr>
        <w:trPr/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A1 — Line/Factory Operator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Physical PCB placed at camera station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Camera/Board ID scanner/sensor capture; acknowledges Line adapter commands and PLC state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QG-1 (input completeness, focus, metadata, source health, sequence validity)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Pass → forwarded to Edge AI; Fail → Quarantine or bounded re-capture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1 (Presentation/Edge)</w:t>
            </w:r>
          </w:p>
        </w:tc>
      </w:tr>
      <w:tr>
        <w:trPr/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A2 — Edge AI System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QG-1-passed capture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Preprocess (denoise/normalize/crop/ROI) → Edge Inference against approved model version → optional local decision (only for layers 5–6 products) → persist trusted evidence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QG-2 (model version, inference latency, deadline, output format)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Pass → evidence persisted, forwarded to context/model layers; Fail → HOLD / bounded re-process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2 (Application/Edge)</w:t>
            </w:r>
          </w:p>
        </w:tc>
      </w:tr>
      <w:tr>
        <w:trPr/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A12 — Sync Service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Scheduled poll or factory-initiated upload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Synchronizes approved models/context, inspection results; maintains offline approved cache; secure/encrypted mTLS channel; fleet management of edge devices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Sync success vs. degraded/offline state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Edge continues on last-known-good cache when disconnected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Layer 3 shared, Edge–Enterprise Collaboration panel</w:t>
            </w:r>
          </w:p>
        </w:tc>
      </w:tr>
      <w:tr>
        <w:trPr/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A3 — Enterprise Model Orchestration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Validated evidence + validated context (QG-3 passed)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Routes to approved, product-specific model/ensemble; runs vision pipeline (Understand → Detect → Classify → Localize); invokes specialized models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Model/ensemble selection per product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Model evidence (classes, bounding boxes, raw per-class scores) passed downstream; central re-analysis preserves the original edge outcome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4 (Enterprise + Edge deployment)</w:t>
            </w:r>
          </w:p>
        </w:tc>
      </w:tr>
      <w:tr>
        <w:trPr/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A4 — Risk Engine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Model evidence received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Evidence aggregation → validated calibration (temperature scaling/Platt/isotonic) → uncertainty estimation (aleatoric/epistemic) → risk assessment (severity, criticality, business impact)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Calibration validity (raw scores explicitly not treated as probabilities until validated)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Calibrated risk output passed to Decision Layer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rPr/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A5 — Decision Engine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Calibrated risk output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Applies product-specific rules/thresholds and approved decision logic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QG-4 (valid evidence, complete context, policy/risk checks)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PASS (release) / HOLD (→ BRD Review) / REJECT (→ BRD Fail); decision record with evidence, reasoning, model/policy versions, audit trail created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6</w:t>
            </w:r>
          </w:p>
        </w:tc>
      </w:tr>
      <w:tr>
        <w:trPr/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A7 — BRD Reviewer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Decision Layer outputs HOLD or REJECT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Reviews decision record (evidence, reasoning, versions)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BRD REVIEW (HOLD) vs. BRD FAIL (REJECT)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Physical action on the board approved only after this review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6</w:t>
            </w:r>
          </w:p>
        </w:tc>
      </w:tr>
      <w:tr>
        <w:trPr/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A6 — Human Reviewer/Inspector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Uncertain results, high-risk cases, or unknown/anomaly items enter Review Queue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Annotation + review (bounding boxes, component IDs, reason codes); second reviewer where required; model override recorded separately from training-label approval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QG-5 (guideline agreement, label completeness, critical checks e.g. safety)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Pass → validated feedback stored, linked to original case, used for training/evaluation; Fail → Escalate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7</w:t>
            </w:r>
          </w:p>
        </w:tc>
      </w:tr>
      <w:tr>
        <w:trPr/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A8 — ML Engineer (MLOps)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Versioned, PASS-audited, leakage-controlled training data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Train &amp; experiment; experiment tracking; evaluation on held-out sets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QG-6 (independent recall/FN, calibration, regression/performance slices, hardware validation)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Pass → quality approval + model registry entry → shadow/staged deployment (canary, monitoring, rollback if needed); Fail → Iterate. Explicit control: "No self-approved model deployment."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8</w:t>
            </w:r>
          </w:p>
        </w:tc>
      </w:tr>
      <w:tr>
        <w:trPr/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A9 — Platform Owner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Alert from Observability (drift, anomaly, threshold breach, SLA breach)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Diagnoses/mitigates incident; approves exceptions or suspends operation; reviews forecasts and capacity plans; enforces policy gate limits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Approve exception vs. suspend; execute &amp; verify remediation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Feedback loop improves platform reliability and forecasting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/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A10 — Governance/Compliance Admin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Access request, model/policy change request, or scheduled audit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RBAC provisioning (least privilege); reviews audit &amp; lineage (immutable, end-to-end); approves model/policy governance changes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Approve/deny access; approve/deny model or policy change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Compliance evidence produced against applicable obligations</w:t>
            </w:r>
          </w:p>
        </w:tc>
        <w:tc>
          <w:tcPr>
            <w:tcW w:w="1743" w:type="dxa"/>
            <w:shd w:fill="F0F5F8"/>
            <w:vAlign w:val="top"/>
          </w:tcPr>
          <w:p>
            <w:pPr>
              <w:pStyle w:val="TableText"/>
            </w:pPr>
            <w:r>
              <w:t xml:space="preserve">10 (cross-cutting)</w:t>
            </w:r>
          </w:p>
        </w:tc>
      </w:tr>
      <w:tr>
        <w:trPr/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A11 — Operator/Inspector/Manager (UI)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Opens Adaptive UI with authorized role/task context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Views AI-composed, role-aware, permission-scoped interface; takes an explicit action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UI validation (schema/permissions) pass vs. fail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Explicit user action triggers backend authorization into existing workflows; on failure → Standard UI fallback (invalid output/timeout/user choice)</w:t>
            </w:r>
          </w:p>
        </w:tc>
        <w:tc>
          <w:tcPr>
            <w:tcW w:w="1743" w:type="dxa"/>
            <w:shd w:fill="FFFFFF"/>
            <w:vAlign w:val="top"/>
          </w:tcPr>
          <w:p>
            <w:pPr>
              <w:pStyle w:val="TableText"/>
            </w:pPr>
            <w:r>
              <w:t xml:space="preserve">11 (reads Layers 6–7 data, hosted by 9, governed by 10)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2. Workflows</w:t>
      </w:r>
    </w:p>
    <w:p>
      <w:pPr>
        <w:pStyle w:val="Normal"/>
      </w:pPr>
      <w:r>
        <w:t xml:space="preserve">Each workflow below states its trigger, sequence, participating components, data exchanged, decision/approval points, execution mode, and success/failure paths, exactly as evidenced in the diagram.</w:t>
      </w:r>
    </w:p>
    <w:p>
      <w:pPr>
        <w:pStyle w:val="Heading2"/>
      </w:pPr>
      <w:r>
        <w:t xml:space="preserve">2.1 Ingestion &amp; Edge Inference</w:t>
      </w:r>
    </w:p>
    <w:p>
      <w:pPr>
        <w:pStyle w:val="ListParagraph"/>
      </w:pPr>
      <w:r>
        <w:t xml:space="preserve">• Trigger: New PCB presented at the capture station.</w:t>
      </w:r>
    </w:p>
    <w:p>
      <w:pPr>
        <w:pStyle w:val="ListParagraph"/>
      </w:pPr>
      <w:r>
        <w:t xml:space="preserve">• Sequence: Capture (camera/Board ID/sensor/metadata) → QG-1 validation → Preprocess → Edge Inference → QG-2 validation → optional local decision (layers 5–6 only) → persist evidence.</w:t>
      </w:r>
    </w:p>
    <w:p>
      <w:pPr>
        <w:pStyle w:val="ListParagraph"/>
      </w:pPr>
      <w:r>
        <w:t xml:space="preserve">• Components: Cameras, Board ID scanner/PLC, sensors, Edge AI, Line adapter.</w:t>
      </w:r>
    </w:p>
    <w:p>
      <w:pPr>
        <w:pStyle w:val="ListParagraph"/>
      </w:pPr>
      <w:r>
        <w:t xml:space="preserve">• Data exchanged: High-resolution image, board metadata, machine state, model output/confidence, timestamp/sequence.</w:t>
      </w:r>
    </w:p>
    <w:p>
      <w:pPr>
        <w:pStyle w:val="ListParagraph"/>
      </w:pPr>
      <w:r>
        <w:t xml:space="preserve">• Decision/approval points: QG-1 (input validity), QG-2 (inference reliability).</w:t>
      </w:r>
    </w:p>
    <w:p>
      <w:pPr>
        <w:pStyle w:val="ListParagraph"/>
      </w:pPr>
      <w:r>
        <w:t xml:space="preserve">• Execution mode: Synchronous, in-line with production; automated with operator-triggered re-capture on failure.</w:t>
      </w:r>
    </w:p>
    <w:p>
      <w:pPr>
        <w:pStyle w:val="ListParagraph"/>
      </w:pPr>
      <w:r>
        <w:t xml:space="preserve">• Success/failure: Success → forwarded for context enrichment. Failure → Quarantine / bounded re-capture / HOLD.</w:t>
      </w:r>
    </w:p>
    <w:p>
      <w:pPr>
        <w:pStyle w:val="Heading2"/>
      </w:pPr>
      <w:r>
        <w:t xml:space="preserve">2.2 Context Enrichment</w:t>
      </w:r>
    </w:p>
    <w:p>
      <w:pPr>
        <w:pStyle w:val="ListParagraph"/>
      </w:pPr>
      <w:r>
        <w:t xml:space="preserve">• Trigger: Validated inference, or a scheduled context sync.</w:t>
      </w:r>
    </w:p>
    <w:p>
      <w:pPr>
        <w:pStyle w:val="ListParagraph"/>
      </w:pPr>
      <w:r>
        <w:t xml:space="preserve">• Sequence: Local cache lookup → Context sync with Central context store → QG-3 validation (product/revision validity, spec/component references, line context).</w:t>
      </w:r>
    </w:p>
    <w:p>
      <w:pPr>
        <w:pStyle w:val="ListParagraph"/>
      </w:pPr>
      <w:r>
        <w:t xml:space="preserve">• Components: Local cache, Context sync service, Central context store.</w:t>
      </w:r>
    </w:p>
    <w:p>
      <w:pPr>
        <w:pStyle w:val="ListParagraph"/>
      </w:pPr>
      <w:r>
        <w:t xml:space="preserve">• Data exchanged: Board specifications, BOM, product variants, machine/process context, version/expiry metadata.</w:t>
      </w:r>
    </w:p>
    <w:p>
      <w:pPr>
        <w:pStyle w:val="ListParagraph"/>
      </w:pPr>
      <w:r>
        <w:t xml:space="preserve">• Decision/approval points: QG-3 (context completeness/validity); on failure, last-known-good is used only within approved validity policy.</w:t>
      </w:r>
    </w:p>
    <w:p>
      <w:pPr>
        <w:pStyle w:val="ListParagraph"/>
      </w:pPr>
      <w:r>
        <w:t xml:space="preserve">• Execution mode: Asynchronous sync; synchronous validation gate before inference is trusted; fully automated.</w:t>
      </w:r>
    </w:p>
    <w:p>
      <w:pPr>
        <w:pStyle w:val="ListParagraph"/>
      </w:pPr>
      <w:r>
        <w:t xml:space="preserve">• Success/failure: Pass → validated context available for decisioning. Fail → HOLD / exception.</w:t>
      </w:r>
    </w:p>
    <w:p>
      <w:pPr>
        <w:pStyle w:val="Heading2"/>
      </w:pPr>
      <w:r>
        <w:t xml:space="preserve">2.3 Model Orchestration &amp; Vision Pipeline</w:t>
      </w:r>
    </w:p>
    <w:p>
      <w:pPr>
        <w:pStyle w:val="ListParagraph"/>
      </w:pPr>
      <w:r>
        <w:t xml:space="preserve">• Trigger: Validated evidence and validated context both available.</w:t>
      </w:r>
    </w:p>
    <w:p>
      <w:pPr>
        <w:pStyle w:val="ListParagraph"/>
      </w:pPr>
      <w:r>
        <w:t xml:space="preserve">• Sequence: Approved model routing/product-specific selection → vision pipeline (Understand → Detect → Classify → Localize) → specialized models produce model evidence.</w:t>
      </w:r>
    </w:p>
    <w:p>
      <w:pPr>
        <w:pStyle w:val="ListParagraph"/>
      </w:pPr>
      <w:r>
        <w:t xml:space="preserve">• Components: AI Model Layer (Enterprise + Edge deployment), specialized defect models.</w:t>
      </w:r>
    </w:p>
    <w:p>
      <w:pPr>
        <w:pStyle w:val="ListParagraph"/>
      </w:pPr>
      <w:r>
        <w:t xml:space="preserve">• Data exchanged: Defect classes, bounding-box locations, raw per-class scores.</w:t>
      </w:r>
    </w:p>
    <w:p>
      <w:pPr>
        <w:pStyle w:val="ListParagraph"/>
      </w:pPr>
      <w:r>
        <w:t xml:space="preserve">• Decision/approval points: Model/ensemble selection is policy-driven, not case-by-case approved.</w:t>
      </w:r>
    </w:p>
    <w:p>
      <w:pPr>
        <w:pStyle w:val="ListParagraph"/>
      </w:pPr>
      <w:r>
        <w:t xml:space="preserve">• Execution mode: Synchronous per item; central re-analysis runs asynchronously and explicitly preserves the original edge outcome (does not silently overwrite it). Fully automated.</w:t>
      </w:r>
    </w:p>
    <w:p>
      <w:pPr>
        <w:pStyle w:val="ListParagraph"/>
      </w:pPr>
      <w:r>
        <w:t xml:space="preserve">• Success/failure: Model evidence is always passed forward to the Risk Layer; no explicit failure branch is shown at this stage.</w:t>
      </w:r>
    </w:p>
    <w:p>
      <w:pPr>
        <w:pStyle w:val="Heading2"/>
      </w:pPr>
      <w:r>
        <w:t xml:space="preserve">2.4 Probabilistic Risk Assessment</w:t>
      </w:r>
    </w:p>
    <w:p>
      <w:pPr>
        <w:pStyle w:val="ListParagraph"/>
      </w:pPr>
      <w:r>
        <w:t xml:space="preserve">• Trigger: Model evidence produced.</w:t>
      </w:r>
    </w:p>
    <w:p>
      <w:pPr>
        <w:pStyle w:val="ListParagraph"/>
      </w:pPr>
      <w:r>
        <w:t xml:space="preserve">• Sequence: Evidence aggregation → validated calibration (temperature scaling / Platt / isotonic) → uncertainty estimation (aleatoric / epistemic, where validated) → risk assessment (severity, criticality, business impact).</w:t>
      </w:r>
    </w:p>
    <w:p>
      <w:pPr>
        <w:pStyle w:val="ListParagraph"/>
      </w:pPr>
      <w:r>
        <w:t xml:space="preserve">• Components: Probabilistic Reasoning &amp; Risk Layer.</w:t>
      </w:r>
    </w:p>
    <w:p>
      <w:pPr>
        <w:pStyle w:val="ListParagraph"/>
      </w:pPr>
      <w:r>
        <w:t xml:space="preserve">• Data exchanged: Calibrated probabilities, uncertainty bounds, risk scores.</w:t>
      </w:r>
    </w:p>
    <w:p>
      <w:pPr>
        <w:pStyle w:val="ListParagraph"/>
      </w:pPr>
      <w:r>
        <w:t xml:space="preserve">• Decision/approval points: Calibration must be validated before scores are treated as probabilistic (explicit diagram note: "Raw scores are not automatically probabilistic").</w:t>
      </w:r>
    </w:p>
    <w:p>
      <w:pPr>
        <w:pStyle w:val="ListParagraph"/>
      </w:pPr>
      <w:r>
        <w:t xml:space="preserve">• Execution mode: Synchronous; fully automated.</w:t>
      </w:r>
    </w:p>
    <w:p>
      <w:pPr>
        <w:pStyle w:val="ListParagraph"/>
      </w:pPr>
      <w:r>
        <w:t xml:space="preserve">• Success/failure: Output feeds Decision Layer; no explicit failure branch shown at this stage.</w:t>
      </w:r>
    </w:p>
    <w:p>
      <w:pPr>
        <w:pStyle w:val="Heading2"/>
      </w:pPr>
      <w:r>
        <w:t xml:space="preserve">2.5 Decisioning</w:t>
      </w:r>
    </w:p>
    <w:p>
      <w:pPr>
        <w:pStyle w:val="ListParagraph"/>
      </w:pPr>
      <w:r>
        <w:t xml:space="preserve">• Trigger: Calibrated risk output ready.</w:t>
      </w:r>
    </w:p>
    <w:p>
      <w:pPr>
        <w:pStyle w:val="ListParagraph"/>
      </w:pPr>
      <w:r>
        <w:t xml:space="preserve">• Sequence: Apply product-specific rules/thresholds and approved decision logic → QG-4 validation → outcome determination → decision record creation.</w:t>
      </w:r>
    </w:p>
    <w:p>
      <w:pPr>
        <w:pStyle w:val="ListParagraph"/>
      </w:pPr>
      <w:r>
        <w:t xml:space="preserve">• Components: Decision Layer.</w:t>
      </w:r>
    </w:p>
    <w:p>
      <w:pPr>
        <w:pStyle w:val="ListParagraph"/>
      </w:pPr>
      <w:r>
        <w:t xml:space="preserve">• Data exchanged: Decision outcome, evidence and reasoning, model/policy version references, audit trail entry.</w:t>
      </w:r>
    </w:p>
    <w:p>
      <w:pPr>
        <w:pStyle w:val="ListParagraph"/>
      </w:pPr>
      <w:r>
        <w:t xml:space="preserve">• Decision/approval points: QG-4 (valid evidence, complete context, policy/risk checks); outcome branches to PASS, HOLD (→ BRD Review), or REJECT (→ BRD Fail).</w:t>
      </w:r>
    </w:p>
    <w:p>
      <w:pPr>
        <w:pStyle w:val="ListParagraph"/>
      </w:pPr>
      <w:r>
        <w:t xml:space="preserve">• Execution mode: Synchronous decisioning; manual approval gate required before physical action on HOLD/REJECT outcomes.</w:t>
      </w:r>
    </w:p>
    <w:p>
      <w:pPr>
        <w:pStyle w:val="ListParagraph"/>
      </w:pPr>
      <w:r>
        <w:t xml:space="preserve">• Success/failure: PASS → released. HOLD/REJECT → routed to BRD review before any physical action is taken.</w:t>
      </w:r>
    </w:p>
    <w:p>
      <w:pPr>
        <w:pStyle w:val="Heading2"/>
      </w:pPr>
      <w:r>
        <w:t xml:space="preserve">2.6 Human-in-the-Loop Review &amp; Labeling</w:t>
      </w:r>
    </w:p>
    <w:p>
      <w:pPr>
        <w:pStyle w:val="ListParagraph"/>
      </w:pPr>
      <w:r>
        <w:t xml:space="preserve">• Trigger: HOLD outcome, low-confidence inference, or flagged unknown/anomaly.</w:t>
      </w:r>
    </w:p>
    <w:p>
      <w:pPr>
        <w:pStyle w:val="ListParagraph"/>
      </w:pPr>
      <w:r>
        <w:t xml:space="preserve">• Sequence: Item enters review queue → annotation + review (bounding boxes, component IDs, reason codes) → second reviewer for required cases → QG-5 validation → validated feedback stored and linked to originating case.</w:t>
      </w:r>
    </w:p>
    <w:p>
      <w:pPr>
        <w:pStyle w:val="ListParagraph"/>
      </w:pPr>
      <w:r>
        <w:t xml:space="preserve">• Components: Human-in-the-Loop Layer.</w:t>
      </w:r>
    </w:p>
    <w:p>
      <w:pPr>
        <w:pStyle w:val="ListParagraph"/>
      </w:pPr>
      <w:r>
        <w:t xml:space="preserve">• Data exchanged: Approved labels, review comments, case linkage, override rationale.</w:t>
      </w:r>
    </w:p>
    <w:p>
      <w:pPr>
        <w:pStyle w:val="ListParagraph"/>
      </w:pPr>
      <w:r>
        <w:t xml:space="preserve">• Decision/approval points: QG-5 (guideline agreement, label completeness, critical/safety checks). Model override and training-label approval are kept as separate approval tracks.</w:t>
      </w:r>
    </w:p>
    <w:p>
      <w:pPr>
        <w:pStyle w:val="ListParagraph"/>
      </w:pPr>
      <w:r>
        <w:t xml:space="preserve">• Execution mode: Asynchronous; fully manual (expert human).</w:t>
      </w:r>
    </w:p>
    <w:p>
      <w:pPr>
        <w:pStyle w:val="ListParagraph"/>
      </w:pPr>
      <w:r>
        <w:t xml:space="preserve">• Success/failure: Pass → validated feedback used for training/evaluation. Fail → Escalate.</w:t>
      </w:r>
    </w:p>
    <w:p>
      <w:pPr>
        <w:pStyle w:val="Heading2"/>
      </w:pPr>
      <w:r>
        <w:t xml:space="preserve">2.7 Model Lifecycle / MLOps</w:t>
      </w:r>
    </w:p>
    <w:p>
      <w:pPr>
        <w:pStyle w:val="ListParagraph"/>
      </w:pPr>
      <w:r>
        <w:t xml:space="preserve">• Trigger: New/updated verified training data, scheduled retraining, or drift-triggered retraining need.</w:t>
      </w:r>
    </w:p>
    <w:p>
      <w:pPr>
        <w:pStyle w:val="ListParagraph"/>
      </w:pPr>
      <w:r>
        <w:t xml:space="preserve">• Sequence: Versioned data (representative PASS audits, verified labels, data leakage control) → train &amp; experiment (with experiment tracking, evaluation on held-out sets) → QG-6 evaluation → quality approval + model registry entry → shadow/staged deployment (canary, monitoring, rollback if needed).</w:t>
      </w:r>
    </w:p>
    <w:p>
      <w:pPr>
        <w:pStyle w:val="ListParagraph"/>
      </w:pPr>
      <w:r>
        <w:t xml:space="preserve">• Components: Model Lifecycle &amp; MLOps Layer, CI/evaluation pipeline.</w:t>
      </w:r>
    </w:p>
    <w:p>
      <w:pPr>
        <w:pStyle w:val="ListParagraph"/>
      </w:pPr>
      <w:r>
        <w:t xml:space="preserve">• Data exchanged: Training datasets, experiment metrics, model artifacts, model metadata, release notes.</w:t>
      </w:r>
    </w:p>
    <w:p>
      <w:pPr>
        <w:pStyle w:val="ListParagraph"/>
      </w:pPr>
      <w:r>
        <w:t xml:space="preserve">• Decision/approval points: QG-6 (independent recall/false-negative rate, calibration, regression/performance slices, hardware validation). Explicit control: no self-approved model deployment — pipeline requires AI-assisted engineering → human review → CI/evaluation → authorized release.</w:t>
      </w:r>
    </w:p>
    <w:p>
      <w:pPr>
        <w:pStyle w:val="ListParagraph"/>
      </w:pPr>
      <w:r>
        <w:t xml:space="preserve">• Execution mode: Predominantly asynchronous/batch; hybrid automated-assisted + mandatory human authorization.</w:t>
      </w:r>
    </w:p>
    <w:p>
      <w:pPr>
        <w:pStyle w:val="ListParagraph"/>
      </w:pPr>
      <w:r>
        <w:t xml:space="preserve">• Success/failure: Pass → shadow/staged deployment with monitoring and rollback capability. Fail → Iterate.</w:t>
      </w:r>
    </w:p>
    <w:p>
      <w:pPr>
        <w:pStyle w:val="Heading2"/>
      </w:pPr>
      <w:r>
        <w:t xml:space="preserve">2.8 Observability &amp; Incident Response</w:t>
      </w:r>
    </w:p>
    <w:p>
      <w:pPr>
        <w:pStyle w:val="ListParagraph"/>
      </w:pPr>
      <w:r>
        <w:t xml:space="preserve">• Trigger: Continuous monitoring signal — drift/anomaly detection, threshold breach, or capacity forecast issue.</w:t>
      </w:r>
    </w:p>
    <w:p>
      <w:pPr>
        <w:pStyle w:val="ListParagraph"/>
      </w:pPr>
      <w:r>
        <w:t xml:space="preserve">• Sequence: Monitor (performance, quality trends, system health) → Alert (thresholds, anomalies, SLA breaches) → incident response (diagnose, mitigate, rollback if needed) → Observe (telemetry/logs) → Forecast (demand/risk models, prediction intervals) → Plan (outages, cooldowns) → Policy gate (check capacity, enforce limits) → Execute &amp; verify → feedback to improve.</w:t>
      </w:r>
    </w:p>
    <w:p>
      <w:pPr>
        <w:pStyle w:val="ListParagraph"/>
      </w:pPr>
      <w:r>
        <w:t xml:space="preserve">• Components: Observability, Operations &amp; AI-Native Hosting Layer; Platform Owner.</w:t>
      </w:r>
    </w:p>
    <w:p>
      <w:pPr>
        <w:pStyle w:val="ListParagraph"/>
      </w:pPr>
      <w:r>
        <w:t xml:space="preserve">• Data exchanged: Telemetry, logs, drift/anomaly metrics, alerts, capacity forecasts, policy constraints.</w:t>
      </w:r>
    </w:p>
    <w:p>
      <w:pPr>
        <w:pStyle w:val="ListParagraph"/>
      </w:pPr>
      <w:r>
        <w:t xml:space="preserve">• Decision/approval points: Platform Owner approves exceptions or suspends operation; policy gate enforces reserved-edge and bounded-enterprise-scaling limits; isolated training pools are explicitly segregated from production capacity, and "uncertain forecasts → static reserve" (i.e., the system never consumes edge reservations under uncertainty).</w:t>
      </w:r>
    </w:p>
    <w:p>
      <w:pPr>
        <w:pStyle w:val="ListParagraph"/>
      </w:pPr>
      <w:r>
        <w:t xml:space="preserve">• Execution mode: Continuous/asynchronous monitoring; manual incident response for exceptions.</w:t>
      </w:r>
    </w:p>
    <w:p>
      <w:pPr>
        <w:pStyle w:val="ListParagraph"/>
      </w:pPr>
      <w:r>
        <w:t xml:space="preserve">• Success/failure: Verified remediation feeds back into forecasting and planning; no explicit terminal failure state shown beyond suspend/rollback.</w:t>
      </w:r>
    </w:p>
    <w:p>
      <w:pPr>
        <w:pStyle w:val="Heading2"/>
      </w:pPr>
      <w:r>
        <w:t xml:space="preserve">2.9 Governance &amp; Compliance</w:t>
      </w:r>
    </w:p>
    <w:p>
      <w:pPr>
        <w:pStyle w:val="ListParagraph"/>
      </w:pPr>
      <w:r>
        <w:t xml:space="preserve">• Trigger: Access request, model/policy change request, or scheduled audit.</w:t>
      </w:r>
    </w:p>
    <w:p>
      <w:pPr>
        <w:pStyle w:val="ListParagraph"/>
      </w:pPr>
      <w:r>
        <w:t xml:space="preserve">• Sequence: Access control (RBAC, least privilege) → data protection (encryption, retention, anonymization) → audit &amp; lineage capture (immutable history, end-to-end traceability) → model governance (approvals, risk management, change control) → compliance evidence compiled against applicable obligations.</w:t>
      </w:r>
    </w:p>
    <w:p>
      <w:pPr>
        <w:pStyle w:val="ListParagraph"/>
      </w:pPr>
      <w:r>
        <w:t xml:space="preserve">• Components: Governance, Security &amp; Compliance Layer (cross-cutting across Edge and Enterprise).</w:t>
      </w:r>
    </w:p>
    <w:p>
      <w:pPr>
        <w:pStyle w:val="ListParagraph"/>
      </w:pPr>
      <w:r>
        <w:t xml:space="preserve">• Data exchanged: Access logs, lineage records, approval records, compliance artifacts.</w:t>
      </w:r>
    </w:p>
    <w:p>
      <w:pPr>
        <w:pStyle w:val="ListParagraph"/>
      </w:pPr>
      <w:r>
        <w:t xml:space="preserve">• Decision/approval points: Approvals required for access grants, model promotion, and policy/change control.</w:t>
      </w:r>
    </w:p>
    <w:p>
      <w:pPr>
        <w:pStyle w:val="ListParagraph"/>
      </w:pPr>
      <w:r>
        <w:t xml:space="preserve">• Execution mode: Asynchronous, continuous, cross-cutting; manual approvals with automated logging/evidence capture.</w:t>
      </w:r>
    </w:p>
    <w:p>
      <w:pPr>
        <w:pStyle w:val="ListParagraph"/>
      </w:pPr>
      <w:r>
        <w:t xml:space="preserve">• Success/failure: Produces auditable, end-to-end compliance evidence across every layer; no explicit failure path (governance is a control layer, not a pass/fail gate in the diagram).</w:t>
      </w:r>
    </w:p>
    <w:p>
      <w:pPr>
        <w:pStyle w:val="Heading2"/>
      </w:pPr>
      <w:r>
        <w:t xml:space="preserve">2.10 Adaptive UI Rendering</w:t>
      </w:r>
    </w:p>
    <w:p>
      <w:pPr>
        <w:pStyle w:val="ListParagraph"/>
      </w:pPr>
      <w:r>
        <w:t xml:space="preserve">• Trigger: Authorized user opens a task-scoped interface.</w:t>
      </w:r>
    </w:p>
    <w:p>
      <w:pPr>
        <w:pStyle w:val="ListParagraph"/>
      </w:pPr>
      <w:r>
        <w:t xml:space="preserve">• Sequence: Authorized context (role, task, permitted evidence) → UI composition model generates a structured UI spec → UI validation (schema/permissions) → component renderer builds approved widgets from authoritative data → adaptive, role-aware interface presented, with pinned active reviews → explicit user action triggers backend authorization into existing workflows.</w:t>
      </w:r>
    </w:p>
    <w:p>
      <w:pPr>
        <w:pStyle w:val="ListParagraph"/>
      </w:pPr>
      <w:r>
        <w:t xml:space="preserve">• Components: Adaptive UI Layer; consumes data from Layers 6–7; hosted by Layer 9; governed by Layer 10.</w:t>
      </w:r>
    </w:p>
    <w:p>
      <w:pPr>
        <w:pStyle w:val="ListParagraph"/>
      </w:pPr>
      <w:r>
        <w:t xml:space="preserve">• Data exchanged: UI specification/schema, permissions, rendered components, user actions.</w:t>
      </w:r>
    </w:p>
    <w:p>
      <w:pPr>
        <w:pStyle w:val="ListParagraph"/>
      </w:pPr>
      <w:r>
        <w:t xml:space="preserve">• Decision/approval points: UI validation pass/fail. Design principle stated in diagram: "UI model composes presentation; users authorize actions" — i.e., the AI never executes backend actions directly.</w:t>
      </w:r>
    </w:p>
    <w:p>
      <w:pPr>
        <w:pStyle w:val="ListParagraph"/>
      </w:pPr>
      <w:r>
        <w:t xml:space="preserve">• Execution mode: Synchronous per render; automated generation with manual, explicit user action for any backend effect.</w:t>
      </w:r>
    </w:p>
    <w:p>
      <w:pPr>
        <w:pStyle w:val="ListParagraph"/>
      </w:pPr>
      <w:r>
        <w:t xml:space="preserve">• Success/failure: Pass → adaptive interface rendered. Fail (invalid output, timeout, or user choice) → Standard UI fallback.</w:t>
      </w:r>
    </w:p>
    <w:p>
      <w:pPr>
        <w:pStyle w:val="Heading2"/>
      </w:pPr>
      <w:r>
        <w:t xml:space="preserve">2.11 Edge–Enterprise Synchronization</w:t>
      </w:r>
    </w:p>
    <w:p>
      <w:pPr>
        <w:pStyle w:val="ListParagraph"/>
      </w:pPr>
      <w:r>
        <w:t xml:space="preserve">• Trigger: Factory-initiated upload or scheduled polling.</w:t>
      </w:r>
    </w:p>
    <w:p>
      <w:pPr>
        <w:pStyle w:val="ListParagraph"/>
      </w:pPr>
      <w:r>
        <w:t xml:space="preserve">• Sequence: Approved model/context updates pushed to edge; inspection results synchronized to enterprise; offline approved cache maintained for continuity; fleet management of edge devices.</w:t>
      </w:r>
    </w:p>
    <w:p>
      <w:pPr>
        <w:pStyle w:val="ListParagraph"/>
      </w:pPr>
      <w:r>
        <w:t xml:space="preserve">• Components: Edge–Enterprise Collaboration channel (secure, encrypted, mTLS, DMZ-crossing).</w:t>
      </w:r>
    </w:p>
    <w:p>
      <w:pPr>
        <w:pStyle w:val="ListParagraph"/>
      </w:pPr>
      <w:r>
        <w:t xml:space="preserve">• Data exchanged: Approved models, context, inspection results, evidence, policies, logs, fleet status.</w:t>
      </w:r>
    </w:p>
    <w:p>
      <w:pPr>
        <w:pStyle w:val="ListParagraph"/>
      </w:pPr>
      <w:r>
        <w:t xml:space="preserve">• Decision/approval points: Not explicit — synchronization appears policy-driven and continuous rather than approved case-by-case (see Gap 10).</w:t>
      </w:r>
    </w:p>
    <w:p>
      <w:pPr>
        <w:pStyle w:val="ListParagraph"/>
      </w:pPr>
      <w:r>
        <w:t xml:space="preserve">• Execution mode: Asynchronous.</w:t>
      </w:r>
    </w:p>
    <w:p>
      <w:pPr>
        <w:pStyle w:val="ListParagraph"/>
      </w:pPr>
      <w:r>
        <w:t xml:space="preserve">• Success/failure: Edge continues operating from last-known-good offline cache if disconnected; no explicit conflict-resolution or staleness cutoff is shown (see Gap 9).</w:t>
      </w:r>
    </w:p>
    <w:p>
      <w:pPr>
        <w:pStyle w:val="Heading1"/>
      </w:pPr>
      <w:r>
        <w:t xml:space="preserve">3. Process Identification Challenges / Gaps</w:t>
      </w:r>
    </w:p>
    <w:p>
      <w:pPr>
        <w:pStyle w:val="Normal"/>
      </w:pPr>
      <w:r>
        <w:t xml:space="preserve">The following items are not resolvable from the diagram alone. Each states what is missing, why it matters at enterprise scale, and the specific question to raise with the client/BA team. No industry-default assumption has been substituted for any of these.</w:t>
      </w:r>
    </w:p>
    <w:p>
      <w:pPr>
        <w:pStyle w:val="ListParagraph"/>
      </w:pPr>
      <w:r>
        <w:t xml:space="preserve">1. Ownership overlap between the Layer 7 label/annotation reviewer (QG-5) and the Layer 6 BRD reviewer (BRD Review/BRD Fail).</w:t>
      </w:r>
    </w:p>
    <w:p>
      <w:pPr>
        <w:pStyle w:val="ListParagraph"/>
      </w:pPr>
      <w:r>
        <w:t xml:space="preserve">    Why it matters: These read as two distinct human gates with different purposes (label quality vs. release/physical-action approval), but the diagram does not state whether they are the same personnel, team, or queue, which affects staffing, SLA design, and system access provisioning.</w:t>
      </w:r>
    </w:p>
    <w:p>
      <w:pPr>
        <w:pStyle w:val="ListParagraph"/>
      </w:pPr>
      <w:r>
        <w:t xml:space="preserve">    Question: Are the BRD reviewer and the label/annotation reviewer the same role? If not, what is the case hand-off mechanism between them?</w:t>
      </w:r>
    </w:p>
    <w:p>
      <w:pPr>
        <w:pStyle w:val="ListParagraph"/>
      </w:pPr>
      <w:r>
        <w:t xml:space="preserve">2. No SLA or timeout is defined for HOLD or Escalate states.</w:t>
      </w:r>
    </w:p>
    <w:p>
      <w:pPr>
        <w:pStyle w:val="ListParagraph"/>
      </w:pPr>
      <w:r>
        <w:t xml:space="preserve">    Why it matters: Boards can sit in HOLD (BRD review) or Escalated (expert review) indefinitely per the diagram, which directly affects line throughput, WIP inventory, and customer delivery commitments.</w:t>
      </w:r>
    </w:p>
    <w:p>
      <w:pPr>
        <w:pStyle w:val="ListParagraph"/>
      </w:pPr>
      <w:r>
        <w:t xml:space="preserve">    Question: What is the maximum allowable dwell time in HOLD/Escalated before a board is force-failed, auto-released under a fallback policy, or flagged as a line bottleneck?</w:t>
      </w:r>
    </w:p>
    <w:p>
      <w:pPr>
        <w:pStyle w:val="ListParagraph"/>
      </w:pPr>
      <w:r>
        <w:t xml:space="preserve">3. "Bounded re-capture" (QG-1) and "bounded re-process" (QG-2) have no stated bound.</w:t>
      </w:r>
    </w:p>
    <w:p>
      <w:pPr>
        <w:pStyle w:val="ListParagraph"/>
      </w:pPr>
      <w:r>
        <w:t xml:space="preserve">    Why it matters: The retry ceiling and the terminal action once it is exhausted (permanent quarantine, scrap, forced escalation) are not shown, which is required to size quarantine capacity and operator workload.</w:t>
      </w:r>
    </w:p>
    <w:p>
      <w:pPr>
        <w:pStyle w:val="ListParagraph"/>
      </w:pPr>
      <w:r>
        <w:t xml:space="preserve">    Question: What is the retry limit for re-capture/re-process, and what is the terminal disposition once that limit is exceeded?</w:t>
      </w:r>
    </w:p>
    <w:p>
      <w:pPr>
        <w:pStyle w:val="ListParagraph"/>
      </w:pPr>
      <w:r>
        <w:t xml:space="preserve">4. Authority and trigger conditions for the "Approved manual / hold — stop fallback" (Failure Handling panel) are undefined.</w:t>
      </w:r>
    </w:p>
    <w:p>
      <w:pPr>
        <w:pStyle w:val="ListParagraph"/>
      </w:pPr>
      <w:r>
        <w:t xml:space="preserve">    Why it matters: This is the most severe failure-handling action shown (a full production stop) with no stated authorization level, automatic vs. discretionary trigger, or resumption procedure — a material operational-risk gap.</w:t>
      </w:r>
    </w:p>
    <w:p>
      <w:pPr>
        <w:pStyle w:val="ListParagraph"/>
      </w:pPr>
      <w:r>
        <w:t xml:space="preserve">    Question: Who is authorized to invoke the manual stop fallback, under what conditions is it automatic vs. discretionary, and what is the documented resumption procedure?</w:t>
      </w:r>
    </w:p>
    <w:p>
      <w:pPr>
        <w:pStyle w:val="ListParagraph"/>
      </w:pPr>
      <w:r>
        <w:t xml:space="preserve">5. The physical actuation mechanism for PASS/HOLD/REJECT is not specified.</w:t>
      </w:r>
    </w:p>
    <w:p>
      <w:pPr>
        <w:pStyle w:val="ListParagraph"/>
      </w:pPr>
      <w:r>
        <w:t xml:space="preserve">    Why it matters: The Decision Layer states "physical action approved," but nothing in the diagram indicates what device executes this (conveyor diverter, robotic sorter, manual operator instruction), or whether a secondary human confirmation is required at the point of action for REJECT outcomes.</w:t>
      </w:r>
    </w:p>
    <w:p>
      <w:pPr>
        <w:pStyle w:val="ListParagraph"/>
      </w:pPr>
      <w:r>
        <w:t xml:space="preserve">    Question: What physical/mechanical system executes the PASS/HOLD/REJECT decision on the line, and is a secondary human confirmation required immediately before physical action on a REJECT?</w:t>
      </w:r>
    </w:p>
    <w:p>
      <w:pPr>
        <w:pStyle w:val="ListParagraph"/>
      </w:pPr>
      <w:r>
        <w:t xml:space="preserve">6. Conflict resolution between central re-analysis and the original edge decision is unclear.</w:t>
      </w:r>
    </w:p>
    <w:p>
      <w:pPr>
        <w:pStyle w:val="ListParagraph"/>
      </w:pPr>
      <w:r>
        <w:t xml:space="preserve">    Why it matters: Layer 4 states central re-analysis "preserves the original edge outcome," implying central inference can diverge from what already happened physically at the edge, but no corrective process is shown for that divergence.</w:t>
      </w:r>
    </w:p>
    <w:p>
      <w:pPr>
        <w:pStyle w:val="ListParagraph"/>
      </w:pPr>
      <w:r>
        <w:t xml:space="preserve">    Question: If central re-analysis disagrees with an edge decision already acted on physically, what is the corrective process — recall, re-inspection, or record-only annotation?</w:t>
      </w:r>
    </w:p>
    <w:p>
      <w:pPr>
        <w:pStyle w:val="ListParagraph"/>
      </w:pPr>
      <w:r>
        <w:t xml:space="preserve">7. Supplied recall targets are explicitly marked as unvalidated ("Pending Quality confirmation — not measured results").</w:t>
      </w:r>
    </w:p>
    <w:p>
      <w:pPr>
        <w:pStyle w:val="ListParagraph"/>
      </w:pPr>
      <w:r>
        <w:t xml:space="preserve">    Why it matters: These are the only quantitative acceptance criteria in the diagram (e.g., 99.5% recall for missing component) and are foundational to any SRS/contract, yet the source diagram itself flags them as unconfirmed.</w:t>
      </w:r>
    </w:p>
    <w:p>
      <w:pPr>
        <w:pStyle w:val="ListParagraph"/>
      </w:pPr>
      <w:r>
        <w:t xml:space="preserve">    Question: Who owns sign-off on these recall targets (client Quality function, vendor, or joint), and what validation dataset and methodology will be used before they become binding acceptance criteria?</w:t>
      </w:r>
    </w:p>
    <w:p>
      <w:pPr>
        <w:pStyle w:val="ListParagraph"/>
      </w:pPr>
      <w:r>
        <w:t xml:space="preserve">8. Data retention period, anonymization scope, and data-residency constraints are unspecified.</w:t>
      </w:r>
    </w:p>
    <w:p>
      <w:pPr>
        <w:pStyle w:val="ListParagraph"/>
      </w:pPr>
      <w:r>
        <w:t xml:space="preserve">    Why it matters: Layer 10 lists "Data protection: Encryption, retention, anonymization" as a category label only — no retention period, no definition of what must be anonymized (e.g., customer board designs, proprietary component layouts), and no residency/sovereignty constraint is given, all of which are required for a compliance-ready SRS.</w:t>
      </w:r>
    </w:p>
    <w:p>
      <w:pPr>
        <w:pStyle w:val="ListParagraph"/>
      </w:pPr>
      <w:r>
        <w:t xml:space="preserve">    Question: What are the specific retention periods, anonymization scope, and data residency/sovereignty requirements for captured PCB images and inspection metadata?</w:t>
      </w:r>
    </w:p>
    <w:p>
      <w:pPr>
        <w:pStyle w:val="ListParagraph"/>
      </w:pPr>
      <w:r>
        <w:t xml:space="preserve">9. Offline edge cache staleness policy is not defined.</w:t>
      </w:r>
    </w:p>
    <w:p>
      <w:pPr>
        <w:pStyle w:val="ListParagraph"/>
      </w:pPr>
      <w:r>
        <w:t xml:space="preserve">    Why it matters: "Offline approved cache (models &amp; context)" allows continued edge operation during disconnection, but no expiry or maximum staleness is given before the edge must halt or flag reduced confidence — a gap that risks inspecting against outdated specifications.</w:t>
      </w:r>
    </w:p>
    <w:p>
      <w:pPr>
        <w:pStyle w:val="ListParagraph"/>
      </w:pPr>
      <w:r>
        <w:t xml:space="preserve">    Question: How long may an edge site operate on cached models/context before it must halt, or degrade to a flagged/reduced-confidence mode, due to staleness?</w:t>
      </w:r>
    </w:p>
    <w:p>
      <w:pPr>
        <w:pStyle w:val="ListParagraph"/>
      </w:pPr>
      <w:r>
        <w:t xml:space="preserve">10. Model promotion/rollback approval authority is ambiguous between MLOps (Layer 8, QG-6) and Governance (Layer 10, model governance).</w:t>
      </w:r>
    </w:p>
    <w:p>
      <w:pPr>
        <w:pStyle w:val="Normal"/>
      </w:pPr>
      <w:r>
        <w:t xml:space="preserve">    Why it matters: "Quality approval + registry" and "rollback if needed" appear under MLOps, while "Model governance: Approvals, risk management, Change control" appears separately under Governance — it is unclear whether this is one approval event described twice, or two sequential, independently owned approvals.</w:t>
      </w:r>
    </w:p>
    <w:p>
      <w:pPr>
        <w:pStyle w:val="Normal"/>
      </w:pPr>
      <w:r>
        <w:t xml:space="preserve">    Question: Is model promotion to production a single approval event, or does it require separate, sequential sign-off from both the MLOps quality gate (QG-6) and the Governance layer's model governance function?</w:t>
      </w:r>
    </w:p>
    <w:p>
      <w:pPr>
        <w:pStyle w:val="ListParagraph"/>
      </w:pPr>
      <w:r>
        <w:t xml:space="preserve">11. Adaptive UI fallback triggers ("Invalid output, Timeout, User choice") have no defined thresholds or degraded-mode scope.</w:t>
      </w:r>
    </w:p>
    <w:p>
      <w:pPr>
        <w:pStyle w:val="Normal"/>
      </w:pPr>
      <w:r>
        <w:t xml:space="preserve">    Why it matters: The UI can fall back to a "Standard UI," but the timeout duration and whether the fallback exposes full or reduced functionality are not shown, which is required to define degraded-mode UX and support requirements.</w:t>
      </w:r>
    </w:p>
    <w:p>
      <w:pPr>
        <w:pStyle w:val="Normal"/>
      </w:pPr>
      <w:r>
        <w:t xml:space="preserve">    Question: What is the timeout threshold that triggers Standard UI fallback, and does the fallback expose full functionality or a reduced feature set?</w:t>
      </w:r>
    </w:p>
    <w:p>
      <w:pPr>
        <w:pStyle w:val="ListParagraph"/>
      </w:pPr>
      <w:r>
        <w:t xml:space="preserve">12. Quarantined evidence has no defined review or disposition workflow.</w:t>
      </w:r>
    </w:p>
    <w:p>
      <w:pPr>
        <w:pStyle w:val="Normal"/>
      </w:pPr>
      <w:r>
        <w:t xml:space="preserve">    Why it matters: "Quarantine invalid evidence" appears in Failure Handling with no stated reviewer, retention period, or reprocessing/disposal path — a traceability gap for audit purposes.</w:t>
      </w:r>
    </w:p>
    <w:p>
      <w:pPr>
        <w:pStyle w:val="Normal"/>
      </w:pPr>
      <w:r>
        <w:t xml:space="preserve">    Question: What is the review cadence and disposition process (reprocess, discard, archive for audit) for evidence sent to quarantine, and who owns that review?</w:t>
      </w:r>
    </w:p>
    <w:p>
      <w:pPr>
        <w:pStyle w:val="ListParagraph"/>
      </w:pPr>
      <w:r>
        <w:t xml:space="preserve">13. Edge–Enterprise synchronization has no explicit conflict-resolution or case-level approval.</w:t>
      </w:r>
    </w:p>
    <w:p>
      <w:pPr>
        <w:pStyle w:val="Normal"/>
      </w:pPr>
      <w:r>
        <w:t xml:space="preserve">    Why it matters: Synchronization (models, context, inspection results) is described as continuous/policy-driven with no stated mechanism for resolving conflicting updates (e.g., two sites receiving different context versions simultaneously) or for approving individual sync events.</w:t>
      </w:r>
    </w:p>
    <w:p>
      <w:pPr>
        <w:pStyle w:val="Normal"/>
      </w:pPr>
      <w:r>
        <w:t xml:space="preserve">    Question: Is synchronization fully automated and policy-driven with no case-level approval, and what is the conflict-resolution rule if concurrent updates disagree (e.g., version precedence, central override)?</w:t>
      </w:r>
    </w:p>
    <w:p>
      <w:pPr>
        <w:pStyle w:val="ListParagraph"/>
      </w:pPr>
      <w:r>
        <w:t xml:space="preserve">14. Isolated training pool segregation boundary is not defined.</w:t>
      </w:r>
    </w:p>
    <w:p>
      <w:pPr>
        <w:pStyle w:val="Normal"/>
      </w:pPr>
      <w:r>
        <w:t xml:space="preserve">    Why it matters: Layer 9 states training pools are "isolated" and "segregated" from production capacity, but the diagram does not specify whether this is a logical (access-control) or physical (separate infrastructure) segregation — material for a security architecture review.</w:t>
      </w:r>
    </w:p>
    <w:p>
      <w:pPr>
        <w:pStyle w:val="Normal"/>
      </w:pPr>
      <w:r>
        <w:t xml:space="preserve">    Question: Is training-pool isolation enforced logically (network/access segmentation) or physically (separate infrastructure), and what compliance requirement, if any, drives that choice?</w:t>
      </w:r>
    </w:p>
    <w:p>
      <w:pPr>
        <w:pStyle w:val="Heading1"/>
      </w:pPr>
      <w:r>
        <w:t xml:space="preserve">4. Summary for Evaluators</w:t>
      </w:r>
    </w:p>
    <w:p>
      <w:pPr>
        <w:pStyle w:val="ListParagraph"/>
      </w:pPr>
      <w:r>
        <w:t xml:space="preserve">• 11 architectural layers, 6 mandatory Quality Gates, and 12 distinct actors (7 human roles, 5 automated/system actors) were identified directly from the diagram.</w:t>
      </w:r>
    </w:p>
    <w:p>
      <w:pPr>
        <w:pStyle w:val="ListParagraph"/>
      </w:pPr>
      <w:r>
        <w:t xml:space="preserve">• 11 core workflows were derived, spanning synchronous edge inspection, asynchronous enterprise decisioning/MLOps, and continuous cross-cutting observability/governance.</w:t>
      </w:r>
    </w:p>
    <w:p>
      <w:pPr>
        <w:pStyle w:val="ListParagraph"/>
      </w:pPr>
      <w:r>
        <w:t xml:space="preserve">• 14 open questions are raised for BA/client validation before this architecture can move from "proposed design" to an approved baseline for SRS or contractual commitment. None of these gaps have been resolved by assumption; all require explicit client input.</w:t>
      </w:r>
    </w:p>
    <w:p>
      <w:pPr>
        <w:pStyle w:val="Normal"/>
      </w:pPr>
      <w:r>
        <w:t xml:space="preserve">This document is derived solely from the referenced architecture diagram. It supersedes no existing Business Requirements Document or prior gap analysis and should be read alongside AI_NATIVE_GAP_ANALYSIS.md for any overlapping findings.</w:t>
      </w:r>
    </w:p>
    <w:sectPr>
      <w:headerReference w:type="default" r:id="rId2"/>
      <w:footerReference w:type="default" r:id="rId3"/>
      <w:pgSz w:w="12240" w:h="15840"/>
      <w:pgMar w:top="900" w:right="890" w:bottom="900" w:left="890" w:header="360" w:footer="36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t xml:space="preserve">Version 1.0 | 15 September 2026 | Page </w:t>
    </w:r>
    <w:fldSimple w:instr="PAGE"/>
  </w:p>
</w:ftr>
</file>

<file path=word/header1.xml><?xml version="1.0" encoding="utf-8"?>
<w:hdr xmlns:w="http://schemas.openxmlformats.org/wordprocessingml/2006/main">
  <w:p>
    <w:pPr>
      <w:pStyle w:val="TableText"/>
    </w:pPr>
    <w:r>
      <w:t xml:space="preserve">AI-NATIVE PCB DEFECT INSPECTION | User Journeys, Workflows &amp; Process Gaps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color w:val="243746"/>
      </w:rPr>
    </w:rPrDefault>
    <w:pPrDefault>
      <w:pPr>
        <w:spacing w:after="100" w:line="26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pPr>
      <w:keepNext/>
      <w:spacing w:before="200" w:after="200"/>
    </w:pPr>
    <w:rPr>
      <w:b/>
      <w:sz w:val="44"/>
      <w:color w:val="173B57"/>
    </w:rPr>
  </w:style>
  <w:style w:type="paragraph" w:styleId="Subtitle">
    <w:name w:val="Subtitle"/>
    <w:pPr>
      <w:keepNext/>
    </w:pPr>
    <w:rPr>
      <w:sz w:val="28"/>
      <w:color w:val="12618A"/>
    </w:rPr>
  </w:style>
  <w:style w:type="paragraph" w:styleId="Heading1">
    <w:name w:val="heading 1"/>
    <w:pPr>
      <w:keepNext/>
      <w:spacing w:before="260" w:after="130"/>
      <w:outlineLvl w:val="0"/>
    </w:pPr>
    <w:rPr>
      <w:b/>
      <w:sz w:val="30"/>
      <w:color w:val="173B57"/>
    </w:rPr>
  </w:style>
  <w:style w:type="paragraph" w:styleId="Heading2">
    <w:name w:val="heading 2"/>
    <w:pPr>
      <w:keepNext/>
      <w:spacing w:before="180" w:after="100"/>
      <w:outlineLvl w:val="1"/>
    </w:pPr>
    <w:rPr>
      <w:b/>
      <w:sz w:val="25"/>
      <w:color w:val="12618A"/>
    </w:rPr>
  </w:style>
  <w:style w:type="paragraph" w:styleId="TableText">
    <w:name w:val="Table Text"/>
    <w:pPr>
      <w:spacing w:after="35" w:line="225" w:lineRule="auto"/>
    </w:pPr>
    <w:rPr>
      <w:sz w:val="18"/>
    </w:rPr>
  </w:style>
  <w:style w:type="paragraph" w:styleId="TableHead">
    <w:name w:val="Table Header"/>
    <w:basedOn w:val="TableText"/>
    <w:rPr>
      <w:b/>
      <w:color w:val="FFFFFF"/>
      <w:sz w:val="18"/>
    </w:rPr>
  </w:style>
  <w:style w:type="paragraph" w:styleId="ListParagraph">
    <w:name w:val="List Paragraph"/>
    <w:pPr>
      <w:ind w:left="220" w:hanging="180"/>
    </w:pPr>
  </w:style>
  <w:style w:type="paragraph" w:styleId="Quote">
    <w:name w:val="Quote"/>
    <w:pPr>
      <w:ind w:left="260"/>
    </w:pPr>
    <w:rPr>
      <w:i/>
      <w:color w:val="46617A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