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AD32" w14:textId="77777777" w:rsidR="009E0008" w:rsidRDefault="009E0008" w:rsidP="00863AD4">
      <w:pPr>
        <w:spacing w:line="360" w:lineRule="auto"/>
        <w:rPr>
          <w:sz w:val="20"/>
        </w:rPr>
      </w:pPr>
      <w:r>
        <w:rPr>
          <w:noProof/>
          <w:sz w:val="20"/>
          <w:lang w:eastAsia="fr-FR"/>
        </w:rPr>
        <w:drawing>
          <wp:anchor distT="0" distB="0" distL="114300" distR="114300" simplePos="0" relativeHeight="251659264" behindDoc="0" locked="0" layoutInCell="1" allowOverlap="1" wp14:anchorId="050A4B88" wp14:editId="77005740">
            <wp:simplePos x="0" y="0"/>
            <wp:positionH relativeFrom="margin">
              <wp:posOffset>4490720</wp:posOffset>
            </wp:positionH>
            <wp:positionV relativeFrom="paragraph">
              <wp:posOffset>213995</wp:posOffset>
            </wp:positionV>
            <wp:extent cx="1280159" cy="523875"/>
            <wp:effectExtent l="0" t="0" r="0" b="9525"/>
            <wp:wrapSquare wrapText="bothSides"/>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280159" cy="523875"/>
                    </a:xfrm>
                    <a:prstGeom prst="rect">
                      <a:avLst/>
                    </a:prstGeom>
                  </pic:spPr>
                </pic:pic>
              </a:graphicData>
            </a:graphic>
          </wp:anchor>
        </w:drawing>
      </w:r>
      <w:r>
        <w:rPr>
          <w:noProof/>
          <w:sz w:val="20"/>
          <w:lang w:eastAsia="fr-FR"/>
        </w:rPr>
        <w:drawing>
          <wp:inline distT="0" distB="0" distL="0" distR="0" wp14:anchorId="632030F4" wp14:editId="6502E079">
            <wp:extent cx="819150" cy="1092924"/>
            <wp:effectExtent l="0" t="0" r="0" b="0"/>
            <wp:docPr id="409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819150" cy="1092924"/>
                    </a:xfrm>
                    <a:prstGeom prst="rect">
                      <a:avLst/>
                    </a:prstGeom>
                  </pic:spPr>
                </pic:pic>
              </a:graphicData>
            </a:graphic>
          </wp:inline>
        </w:drawing>
      </w:r>
    </w:p>
    <w:p w14:paraId="664578C6" w14:textId="77777777" w:rsidR="009E0008" w:rsidRDefault="009E0008" w:rsidP="00863AD4">
      <w:pPr>
        <w:spacing w:line="360" w:lineRule="auto"/>
      </w:pPr>
    </w:p>
    <w:p w14:paraId="6CD9028C" w14:textId="77777777" w:rsidR="009E0008" w:rsidRPr="009E0008" w:rsidRDefault="009E0008" w:rsidP="00863AD4">
      <w:pPr>
        <w:spacing w:line="360" w:lineRule="auto"/>
      </w:pPr>
    </w:p>
    <w:p w14:paraId="2B132952" w14:textId="77777777" w:rsidR="009E0008" w:rsidRPr="009E0008" w:rsidRDefault="009E0008" w:rsidP="00863AD4">
      <w:pPr>
        <w:spacing w:line="360" w:lineRule="auto"/>
      </w:pPr>
    </w:p>
    <w:p w14:paraId="383CAE8A" w14:textId="77777777" w:rsidR="009E0008" w:rsidRPr="009E0008" w:rsidRDefault="009E0008" w:rsidP="00863AD4">
      <w:pPr>
        <w:spacing w:line="360" w:lineRule="auto"/>
      </w:pPr>
    </w:p>
    <w:tbl>
      <w:tblPr>
        <w:tblpPr w:leftFromText="187" w:rightFromText="187" w:horzAnchor="margin" w:tblpXSpec="center" w:tblpY="2881"/>
        <w:tblW w:w="4000" w:type="pct"/>
        <w:tblBorders>
          <w:left w:val="single" w:sz="12" w:space="0" w:color="0F6FC6"/>
        </w:tblBorders>
        <w:tblCellMar>
          <w:left w:w="144" w:type="dxa"/>
          <w:right w:w="115" w:type="dxa"/>
        </w:tblCellMar>
        <w:tblLook w:val="04A0" w:firstRow="1" w:lastRow="0" w:firstColumn="1" w:lastColumn="0" w:noHBand="0" w:noVBand="1"/>
      </w:tblPr>
      <w:tblGrid>
        <w:gridCol w:w="7246"/>
      </w:tblGrid>
      <w:tr w:rsidR="009E0008" w14:paraId="75147E5E" w14:textId="77777777" w:rsidTr="003911ED">
        <w:tc>
          <w:tcPr>
            <w:tcW w:w="7246" w:type="dxa"/>
            <w:tcMar>
              <w:top w:w="216" w:type="dxa"/>
              <w:left w:w="115" w:type="dxa"/>
              <w:bottom w:w="216" w:type="dxa"/>
              <w:right w:w="115" w:type="dxa"/>
            </w:tcMar>
          </w:tcPr>
          <w:p w14:paraId="246FEE44" w14:textId="77777777" w:rsidR="009E0008" w:rsidRPr="001113D3" w:rsidRDefault="009E0008" w:rsidP="00863AD4">
            <w:pPr>
              <w:pStyle w:val="Sansinterligne"/>
              <w:spacing w:line="360" w:lineRule="auto"/>
              <w:rPr>
                <w:rFonts w:cstheme="minorHAnsi"/>
                <w:color w:val="0B5294"/>
                <w:sz w:val="24"/>
              </w:rPr>
            </w:pPr>
            <w:r w:rsidRPr="001113D3">
              <w:rPr>
                <w:rFonts w:cstheme="minorHAnsi"/>
                <w:b/>
                <w:sz w:val="32"/>
              </w:rPr>
              <w:t>RAPPORT INTERMEDIAIRE 2</w:t>
            </w:r>
          </w:p>
        </w:tc>
      </w:tr>
      <w:tr w:rsidR="009E0008" w14:paraId="068F1A43" w14:textId="77777777" w:rsidTr="003911ED">
        <w:tc>
          <w:tcPr>
            <w:tcW w:w="7246" w:type="dxa"/>
          </w:tcPr>
          <w:p w14:paraId="2E40C9EB" w14:textId="77777777" w:rsidR="009E0008" w:rsidRPr="001113D3" w:rsidRDefault="009E0008" w:rsidP="00863AD4">
            <w:pPr>
              <w:pStyle w:val="Sansinterligne"/>
              <w:spacing w:line="360" w:lineRule="auto"/>
              <w:rPr>
                <w:rFonts w:eastAsiaTheme="majorEastAsia" w:cstheme="minorHAnsi"/>
                <w:color w:val="0F6FC6"/>
                <w:sz w:val="88"/>
                <w:szCs w:val="88"/>
              </w:rPr>
            </w:pPr>
            <w:r w:rsidRPr="001113D3">
              <w:rPr>
                <w:rFonts w:eastAsiaTheme="majorEastAsia" w:cstheme="minorHAnsi"/>
                <w:color w:val="0F6FC6"/>
                <w:sz w:val="48"/>
                <w:szCs w:val="48"/>
              </w:rPr>
              <w:t>Elaboration du système de suivi de la filière Bois Energie et de l’adoption d’alternatives de cuisson à Madagascar et du manuel de procédures opérationnelles afférent</w:t>
            </w:r>
            <w:r w:rsidRPr="001113D3">
              <w:rPr>
                <w:rFonts w:cstheme="minorHAnsi"/>
                <w:sz w:val="20"/>
              </w:rPr>
              <w:t xml:space="preserve"> </w:t>
            </w:r>
          </w:p>
        </w:tc>
      </w:tr>
      <w:tr w:rsidR="009E0008" w14:paraId="02B7315F" w14:textId="77777777" w:rsidTr="003911ED">
        <w:tc>
          <w:tcPr>
            <w:tcW w:w="7246" w:type="dxa"/>
            <w:tcMar>
              <w:top w:w="216" w:type="dxa"/>
              <w:left w:w="115" w:type="dxa"/>
              <w:bottom w:w="216" w:type="dxa"/>
              <w:right w:w="115" w:type="dxa"/>
            </w:tcMar>
          </w:tcPr>
          <w:p w14:paraId="3AEF204E" w14:textId="6E7EA622" w:rsidR="009E0008" w:rsidRPr="001113D3" w:rsidRDefault="009E0008" w:rsidP="00863AD4">
            <w:pPr>
              <w:pStyle w:val="Sansinterligne"/>
              <w:spacing w:line="360" w:lineRule="auto"/>
              <w:rPr>
                <w:rFonts w:cstheme="minorHAnsi"/>
                <w:color w:val="0B5294"/>
                <w:sz w:val="24"/>
              </w:rPr>
            </w:pPr>
            <w:r w:rsidRPr="001113D3">
              <w:rPr>
                <w:rFonts w:cstheme="minorHAnsi"/>
                <w:color w:val="0B5294"/>
                <w:sz w:val="24"/>
                <w:szCs w:val="24"/>
              </w:rPr>
              <w:t xml:space="preserve">MANUEL DE PROCEDURES OPERATIONNELLES </w:t>
            </w:r>
            <w:r>
              <w:rPr>
                <w:rFonts w:cstheme="minorHAnsi"/>
                <w:color w:val="0B5294"/>
                <w:sz w:val="24"/>
                <w:szCs w:val="24"/>
              </w:rPr>
              <w:t>DU SYSTEME</w:t>
            </w:r>
          </w:p>
        </w:tc>
      </w:tr>
    </w:tbl>
    <w:p w14:paraId="0BA154F3" w14:textId="77777777" w:rsidR="009E0008" w:rsidRDefault="009E0008" w:rsidP="00863AD4">
      <w:pPr>
        <w:spacing w:line="360" w:lineRule="auto"/>
      </w:pPr>
    </w:p>
    <w:p w14:paraId="6843A6BF" w14:textId="77777777" w:rsidR="009E0008" w:rsidRDefault="009E0008" w:rsidP="00863AD4">
      <w:pPr>
        <w:spacing w:line="360" w:lineRule="auto"/>
      </w:pPr>
    </w:p>
    <w:p w14:paraId="3B998EE3" w14:textId="77777777" w:rsidR="009E0008" w:rsidRDefault="009E0008" w:rsidP="00863AD4">
      <w:pPr>
        <w:spacing w:line="360" w:lineRule="auto"/>
      </w:pPr>
    </w:p>
    <w:p w14:paraId="0D59B06A" w14:textId="77777777" w:rsidR="009E0008" w:rsidRPr="009E0008" w:rsidRDefault="009E0008" w:rsidP="00863AD4">
      <w:pPr>
        <w:spacing w:line="360" w:lineRule="auto"/>
      </w:pPr>
    </w:p>
    <w:p w14:paraId="3555C2FD" w14:textId="77777777" w:rsidR="009E0008" w:rsidRPr="009E0008" w:rsidRDefault="009E0008" w:rsidP="00863AD4">
      <w:pPr>
        <w:spacing w:line="360" w:lineRule="auto"/>
      </w:pPr>
    </w:p>
    <w:p w14:paraId="70198E97" w14:textId="77777777" w:rsidR="009E0008" w:rsidRPr="009E0008" w:rsidRDefault="009E0008" w:rsidP="00863AD4">
      <w:pPr>
        <w:spacing w:line="360" w:lineRule="auto"/>
      </w:pPr>
    </w:p>
    <w:p w14:paraId="10FE97F7" w14:textId="77777777" w:rsidR="009E0008" w:rsidRPr="009E0008" w:rsidRDefault="009E0008" w:rsidP="00863AD4">
      <w:pPr>
        <w:spacing w:line="360" w:lineRule="auto"/>
      </w:pPr>
    </w:p>
    <w:p w14:paraId="5600D227" w14:textId="77777777" w:rsidR="009E0008" w:rsidRPr="009E0008" w:rsidRDefault="009E0008" w:rsidP="00863AD4">
      <w:pPr>
        <w:spacing w:line="360" w:lineRule="auto"/>
      </w:pPr>
    </w:p>
    <w:p w14:paraId="0B45589D" w14:textId="77777777" w:rsidR="009E0008" w:rsidRPr="009E0008" w:rsidRDefault="009E0008" w:rsidP="00863AD4">
      <w:pPr>
        <w:spacing w:line="360" w:lineRule="auto"/>
      </w:pPr>
    </w:p>
    <w:p w14:paraId="09333594" w14:textId="77777777" w:rsidR="009E0008" w:rsidRPr="009E0008" w:rsidRDefault="009E0008" w:rsidP="00863AD4">
      <w:pPr>
        <w:spacing w:line="360" w:lineRule="auto"/>
      </w:pPr>
    </w:p>
    <w:p w14:paraId="379169C8" w14:textId="77777777" w:rsidR="009E0008" w:rsidRPr="009E0008" w:rsidRDefault="009E0008" w:rsidP="00863AD4">
      <w:pPr>
        <w:spacing w:line="360" w:lineRule="auto"/>
      </w:pPr>
    </w:p>
    <w:p w14:paraId="251132BC" w14:textId="77777777" w:rsidR="009E0008" w:rsidRPr="009E0008" w:rsidRDefault="009E0008" w:rsidP="00863AD4">
      <w:pPr>
        <w:spacing w:line="360" w:lineRule="auto"/>
      </w:pPr>
    </w:p>
    <w:p w14:paraId="249621F5" w14:textId="77777777" w:rsidR="009E0008" w:rsidRPr="009E0008" w:rsidRDefault="009E0008" w:rsidP="00863AD4">
      <w:pPr>
        <w:spacing w:line="360" w:lineRule="auto"/>
      </w:pPr>
    </w:p>
    <w:p w14:paraId="03A3AD7C" w14:textId="77777777" w:rsidR="009E0008" w:rsidRPr="009E0008" w:rsidRDefault="009E0008" w:rsidP="00863AD4">
      <w:pPr>
        <w:spacing w:line="360" w:lineRule="auto"/>
      </w:pPr>
    </w:p>
    <w:p w14:paraId="6069B7D7" w14:textId="77777777" w:rsidR="009E0008" w:rsidRPr="009E0008" w:rsidRDefault="009E0008" w:rsidP="00863AD4">
      <w:pPr>
        <w:spacing w:line="360" w:lineRule="auto"/>
      </w:pPr>
    </w:p>
    <w:p w14:paraId="75A77543" w14:textId="77777777" w:rsidR="009E0008" w:rsidRPr="009E0008" w:rsidRDefault="009E0008" w:rsidP="00863AD4">
      <w:pPr>
        <w:spacing w:line="360" w:lineRule="auto"/>
      </w:pPr>
    </w:p>
    <w:p w14:paraId="153D658F" w14:textId="1B545870" w:rsidR="009E0008" w:rsidRDefault="009E0008" w:rsidP="00863AD4">
      <w:pPr>
        <w:spacing w:line="360" w:lineRule="auto"/>
        <w:jc w:val="right"/>
      </w:pPr>
      <w:r>
        <w:t>Juin 2021</w:t>
      </w:r>
    </w:p>
    <w:p w14:paraId="6418CC83" w14:textId="64682E6B" w:rsidR="009E0008" w:rsidRPr="009E0008" w:rsidRDefault="009E0008" w:rsidP="00863AD4">
      <w:pPr>
        <w:spacing w:line="360" w:lineRule="auto"/>
        <w:sectPr w:rsidR="009E0008" w:rsidRPr="009E0008">
          <w:footerReference w:type="default" r:id="rId10"/>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55665051"/>
        <w:docPartObj>
          <w:docPartGallery w:val="Table of Contents"/>
          <w:docPartUnique/>
        </w:docPartObj>
      </w:sdtPr>
      <w:sdtEndPr>
        <w:rPr>
          <w:b/>
          <w:bCs/>
        </w:rPr>
      </w:sdtEndPr>
      <w:sdtContent>
        <w:p w14:paraId="5F027FB0" w14:textId="77777777" w:rsidR="00072F7B" w:rsidRDefault="00072F7B" w:rsidP="00863AD4">
          <w:pPr>
            <w:pStyle w:val="En-ttedetabledesmatires"/>
            <w:spacing w:line="360" w:lineRule="auto"/>
          </w:pPr>
          <w:r>
            <w:t>Table des matières</w:t>
          </w:r>
        </w:p>
        <w:p w14:paraId="07679612" w14:textId="14FEC96A" w:rsidR="00710860" w:rsidRDefault="00072F7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5162442" w:history="1">
            <w:r w:rsidR="00710860" w:rsidRPr="00BC5E71">
              <w:rPr>
                <w:rStyle w:val="Lienhypertexte"/>
                <w:noProof/>
              </w:rPr>
              <w:t>Préambule</w:t>
            </w:r>
            <w:r w:rsidR="00710860">
              <w:rPr>
                <w:noProof/>
                <w:webHidden/>
              </w:rPr>
              <w:tab/>
            </w:r>
            <w:r w:rsidR="00710860">
              <w:rPr>
                <w:noProof/>
                <w:webHidden/>
              </w:rPr>
              <w:fldChar w:fldCharType="begin"/>
            </w:r>
            <w:r w:rsidR="00710860">
              <w:rPr>
                <w:noProof/>
                <w:webHidden/>
              </w:rPr>
              <w:instrText xml:space="preserve"> PAGEREF _Toc75162442 \h </w:instrText>
            </w:r>
            <w:r w:rsidR="00710860">
              <w:rPr>
                <w:noProof/>
                <w:webHidden/>
              </w:rPr>
            </w:r>
            <w:r w:rsidR="00710860">
              <w:rPr>
                <w:noProof/>
                <w:webHidden/>
              </w:rPr>
              <w:fldChar w:fldCharType="separate"/>
            </w:r>
            <w:r w:rsidR="00710860">
              <w:rPr>
                <w:noProof/>
                <w:webHidden/>
              </w:rPr>
              <w:t>i</w:t>
            </w:r>
            <w:r w:rsidR="00710860">
              <w:rPr>
                <w:noProof/>
                <w:webHidden/>
              </w:rPr>
              <w:fldChar w:fldCharType="end"/>
            </w:r>
          </w:hyperlink>
        </w:p>
        <w:p w14:paraId="2BF4ED4F" w14:textId="273BCD00" w:rsidR="00710860" w:rsidRDefault="00060340">
          <w:pPr>
            <w:pStyle w:val="TM1"/>
            <w:tabs>
              <w:tab w:val="right" w:leader="dot" w:pos="9062"/>
            </w:tabs>
            <w:rPr>
              <w:rFonts w:eastAsiaTheme="minorEastAsia"/>
              <w:noProof/>
              <w:lang w:eastAsia="fr-FR"/>
            </w:rPr>
          </w:pPr>
          <w:hyperlink w:anchor="_Toc75162443" w:history="1">
            <w:r w:rsidR="00710860" w:rsidRPr="00BC5E71">
              <w:rPr>
                <w:rStyle w:val="Lienhypertexte"/>
                <w:noProof/>
              </w:rPr>
              <w:t>Liste des abréviations</w:t>
            </w:r>
            <w:r w:rsidR="00710860">
              <w:rPr>
                <w:noProof/>
                <w:webHidden/>
              </w:rPr>
              <w:tab/>
            </w:r>
            <w:r w:rsidR="00710860">
              <w:rPr>
                <w:noProof/>
                <w:webHidden/>
              </w:rPr>
              <w:fldChar w:fldCharType="begin"/>
            </w:r>
            <w:r w:rsidR="00710860">
              <w:rPr>
                <w:noProof/>
                <w:webHidden/>
              </w:rPr>
              <w:instrText xml:space="preserve"> PAGEREF _Toc75162443 \h </w:instrText>
            </w:r>
            <w:r w:rsidR="00710860">
              <w:rPr>
                <w:noProof/>
                <w:webHidden/>
              </w:rPr>
            </w:r>
            <w:r w:rsidR="00710860">
              <w:rPr>
                <w:noProof/>
                <w:webHidden/>
              </w:rPr>
              <w:fldChar w:fldCharType="separate"/>
            </w:r>
            <w:r w:rsidR="00710860">
              <w:rPr>
                <w:noProof/>
                <w:webHidden/>
              </w:rPr>
              <w:t>ii</w:t>
            </w:r>
            <w:r w:rsidR="00710860">
              <w:rPr>
                <w:noProof/>
                <w:webHidden/>
              </w:rPr>
              <w:fldChar w:fldCharType="end"/>
            </w:r>
          </w:hyperlink>
        </w:p>
        <w:p w14:paraId="6E40AF16" w14:textId="52122407" w:rsidR="00710860" w:rsidRDefault="00060340">
          <w:pPr>
            <w:pStyle w:val="TM1"/>
            <w:tabs>
              <w:tab w:val="right" w:leader="dot" w:pos="9062"/>
            </w:tabs>
            <w:rPr>
              <w:rFonts w:eastAsiaTheme="minorEastAsia"/>
              <w:noProof/>
              <w:lang w:eastAsia="fr-FR"/>
            </w:rPr>
          </w:pPr>
          <w:hyperlink w:anchor="_Toc75162444" w:history="1">
            <w:r w:rsidR="00710860" w:rsidRPr="00BC5E71">
              <w:rPr>
                <w:rStyle w:val="Lienhypertexte"/>
                <w:noProof/>
              </w:rPr>
              <w:t>Glossaire</w:t>
            </w:r>
            <w:r w:rsidR="00710860">
              <w:rPr>
                <w:noProof/>
                <w:webHidden/>
              </w:rPr>
              <w:tab/>
            </w:r>
            <w:r w:rsidR="00710860">
              <w:rPr>
                <w:noProof/>
                <w:webHidden/>
              </w:rPr>
              <w:fldChar w:fldCharType="begin"/>
            </w:r>
            <w:r w:rsidR="00710860">
              <w:rPr>
                <w:noProof/>
                <w:webHidden/>
              </w:rPr>
              <w:instrText xml:space="preserve"> PAGEREF _Toc75162444 \h </w:instrText>
            </w:r>
            <w:r w:rsidR="00710860">
              <w:rPr>
                <w:noProof/>
                <w:webHidden/>
              </w:rPr>
            </w:r>
            <w:r w:rsidR="00710860">
              <w:rPr>
                <w:noProof/>
                <w:webHidden/>
              </w:rPr>
              <w:fldChar w:fldCharType="separate"/>
            </w:r>
            <w:r w:rsidR="00710860">
              <w:rPr>
                <w:noProof/>
                <w:webHidden/>
              </w:rPr>
              <w:t>iii</w:t>
            </w:r>
            <w:r w:rsidR="00710860">
              <w:rPr>
                <w:noProof/>
                <w:webHidden/>
              </w:rPr>
              <w:fldChar w:fldCharType="end"/>
            </w:r>
          </w:hyperlink>
        </w:p>
        <w:p w14:paraId="4289D275" w14:textId="1B251E7C" w:rsidR="00710860" w:rsidRPr="00556997" w:rsidRDefault="00060340">
          <w:pPr>
            <w:pStyle w:val="TM1"/>
            <w:tabs>
              <w:tab w:val="left" w:pos="440"/>
              <w:tab w:val="right" w:leader="dot" w:pos="9062"/>
            </w:tabs>
            <w:rPr>
              <w:rFonts w:eastAsiaTheme="minorEastAsia"/>
              <w:noProof/>
              <w:lang w:eastAsia="fr-FR"/>
            </w:rPr>
          </w:pPr>
          <w:hyperlink w:anchor="_Toc75162445" w:history="1">
            <w:r w:rsidR="00710860" w:rsidRPr="00556997">
              <w:rPr>
                <w:rStyle w:val="Lienhypertexte"/>
                <w:noProof/>
              </w:rPr>
              <w:t>1.</w:t>
            </w:r>
            <w:r w:rsidR="00710860" w:rsidRPr="00556997">
              <w:rPr>
                <w:rFonts w:eastAsiaTheme="minorEastAsia"/>
                <w:noProof/>
                <w:lang w:eastAsia="fr-FR"/>
              </w:rPr>
              <w:tab/>
            </w:r>
            <w:r w:rsidR="00710860" w:rsidRPr="00556997">
              <w:rPr>
                <w:rStyle w:val="Lienhypertexte"/>
                <w:noProof/>
              </w:rPr>
              <w:t>PRESENTATION DES INDICATEURS</w:t>
            </w:r>
            <w:r w:rsidR="00710860" w:rsidRPr="00556997">
              <w:rPr>
                <w:noProof/>
                <w:webHidden/>
              </w:rPr>
              <w:tab/>
            </w:r>
            <w:r w:rsidR="00710860" w:rsidRPr="00556997">
              <w:rPr>
                <w:noProof/>
                <w:webHidden/>
              </w:rPr>
              <w:fldChar w:fldCharType="begin"/>
            </w:r>
            <w:r w:rsidR="00710860" w:rsidRPr="00556997">
              <w:rPr>
                <w:noProof/>
                <w:webHidden/>
              </w:rPr>
              <w:instrText xml:space="preserve"> PAGEREF _Toc75162445 \h </w:instrText>
            </w:r>
            <w:r w:rsidR="00710860" w:rsidRPr="00556997">
              <w:rPr>
                <w:noProof/>
                <w:webHidden/>
              </w:rPr>
            </w:r>
            <w:r w:rsidR="00710860" w:rsidRPr="00556997">
              <w:rPr>
                <w:noProof/>
                <w:webHidden/>
              </w:rPr>
              <w:fldChar w:fldCharType="separate"/>
            </w:r>
            <w:r w:rsidR="00710860" w:rsidRPr="00556997">
              <w:rPr>
                <w:noProof/>
                <w:webHidden/>
              </w:rPr>
              <w:t>iv</w:t>
            </w:r>
            <w:r w:rsidR="00710860" w:rsidRPr="00556997">
              <w:rPr>
                <w:noProof/>
                <w:webHidden/>
              </w:rPr>
              <w:fldChar w:fldCharType="end"/>
            </w:r>
          </w:hyperlink>
        </w:p>
        <w:p w14:paraId="3C5BA8E6" w14:textId="678DCEA4" w:rsidR="00710860" w:rsidRPr="00556997" w:rsidRDefault="00060340">
          <w:pPr>
            <w:pStyle w:val="TM1"/>
            <w:tabs>
              <w:tab w:val="left" w:pos="440"/>
              <w:tab w:val="right" w:leader="dot" w:pos="9062"/>
            </w:tabs>
            <w:rPr>
              <w:rFonts w:eastAsiaTheme="minorEastAsia"/>
              <w:noProof/>
              <w:lang w:eastAsia="fr-FR"/>
            </w:rPr>
          </w:pPr>
          <w:hyperlink w:anchor="_Toc75162446" w:history="1">
            <w:r w:rsidR="00710860" w:rsidRPr="00556997">
              <w:rPr>
                <w:rStyle w:val="Lienhypertexte"/>
                <w:noProof/>
              </w:rPr>
              <w:t>2.</w:t>
            </w:r>
            <w:r w:rsidR="00710860" w:rsidRPr="00556997">
              <w:rPr>
                <w:rFonts w:eastAsiaTheme="minorEastAsia"/>
                <w:noProof/>
                <w:lang w:eastAsia="fr-FR"/>
              </w:rPr>
              <w:tab/>
            </w:r>
            <w:r w:rsidR="00710860" w:rsidRPr="00556997">
              <w:rPr>
                <w:rStyle w:val="Lienhypertexte"/>
                <w:noProof/>
              </w:rPr>
              <w:t>Pseudo-arbre des indicateurs</w:t>
            </w:r>
            <w:r w:rsidR="00710860" w:rsidRPr="00556997">
              <w:rPr>
                <w:noProof/>
                <w:webHidden/>
              </w:rPr>
              <w:tab/>
            </w:r>
            <w:r w:rsidR="00710860" w:rsidRPr="00556997">
              <w:rPr>
                <w:noProof/>
                <w:webHidden/>
              </w:rPr>
              <w:fldChar w:fldCharType="begin"/>
            </w:r>
            <w:r w:rsidR="00710860" w:rsidRPr="00556997">
              <w:rPr>
                <w:noProof/>
                <w:webHidden/>
              </w:rPr>
              <w:instrText xml:space="preserve"> PAGEREF _Toc75162446 \h </w:instrText>
            </w:r>
            <w:r w:rsidR="00710860" w:rsidRPr="00556997">
              <w:rPr>
                <w:noProof/>
                <w:webHidden/>
              </w:rPr>
            </w:r>
            <w:r w:rsidR="00710860" w:rsidRPr="00556997">
              <w:rPr>
                <w:noProof/>
                <w:webHidden/>
              </w:rPr>
              <w:fldChar w:fldCharType="separate"/>
            </w:r>
            <w:r w:rsidR="00710860" w:rsidRPr="00556997">
              <w:rPr>
                <w:noProof/>
                <w:webHidden/>
              </w:rPr>
              <w:t>1</w:t>
            </w:r>
            <w:r w:rsidR="00710860" w:rsidRPr="00556997">
              <w:rPr>
                <w:noProof/>
                <w:webHidden/>
              </w:rPr>
              <w:fldChar w:fldCharType="end"/>
            </w:r>
          </w:hyperlink>
        </w:p>
        <w:p w14:paraId="236B4397" w14:textId="489AC445" w:rsidR="00710860" w:rsidRPr="00556997" w:rsidRDefault="00060340">
          <w:pPr>
            <w:pStyle w:val="TM1"/>
            <w:tabs>
              <w:tab w:val="left" w:pos="440"/>
              <w:tab w:val="right" w:leader="dot" w:pos="9062"/>
            </w:tabs>
            <w:rPr>
              <w:rFonts w:eastAsiaTheme="minorEastAsia"/>
              <w:noProof/>
              <w:lang w:eastAsia="fr-FR"/>
            </w:rPr>
          </w:pPr>
          <w:hyperlink w:anchor="_Toc75162447" w:history="1">
            <w:r w:rsidR="00710860" w:rsidRPr="00556997">
              <w:rPr>
                <w:rStyle w:val="Lienhypertexte"/>
                <w:noProof/>
              </w:rPr>
              <w:t>3.</w:t>
            </w:r>
            <w:r w:rsidR="00710860" w:rsidRPr="00556997">
              <w:rPr>
                <w:rFonts w:eastAsiaTheme="minorEastAsia"/>
                <w:noProof/>
                <w:lang w:eastAsia="fr-FR"/>
              </w:rPr>
              <w:tab/>
            </w:r>
            <w:r w:rsidR="00710860" w:rsidRPr="00556997">
              <w:rPr>
                <w:rStyle w:val="Lienhypertexte"/>
                <w:noProof/>
              </w:rPr>
              <w:t>Tableaux des effets/impacts par indicateur</w:t>
            </w:r>
            <w:r w:rsidR="00710860" w:rsidRPr="00556997">
              <w:rPr>
                <w:noProof/>
                <w:webHidden/>
              </w:rPr>
              <w:tab/>
            </w:r>
            <w:r w:rsidR="00710860" w:rsidRPr="00556997">
              <w:rPr>
                <w:noProof/>
                <w:webHidden/>
              </w:rPr>
              <w:fldChar w:fldCharType="begin"/>
            </w:r>
            <w:r w:rsidR="00710860" w:rsidRPr="00556997">
              <w:rPr>
                <w:noProof/>
                <w:webHidden/>
              </w:rPr>
              <w:instrText xml:space="preserve"> PAGEREF _Toc75162447 \h </w:instrText>
            </w:r>
            <w:r w:rsidR="00710860" w:rsidRPr="00556997">
              <w:rPr>
                <w:noProof/>
                <w:webHidden/>
              </w:rPr>
            </w:r>
            <w:r w:rsidR="00710860" w:rsidRPr="00556997">
              <w:rPr>
                <w:noProof/>
                <w:webHidden/>
              </w:rPr>
              <w:fldChar w:fldCharType="separate"/>
            </w:r>
            <w:r w:rsidR="00710860" w:rsidRPr="00556997">
              <w:rPr>
                <w:noProof/>
                <w:webHidden/>
              </w:rPr>
              <w:t>2</w:t>
            </w:r>
            <w:r w:rsidR="00710860" w:rsidRPr="00556997">
              <w:rPr>
                <w:noProof/>
                <w:webHidden/>
              </w:rPr>
              <w:fldChar w:fldCharType="end"/>
            </w:r>
          </w:hyperlink>
        </w:p>
        <w:p w14:paraId="650CCEFF" w14:textId="082AC39C" w:rsidR="00710860" w:rsidRPr="00556997" w:rsidRDefault="00060340">
          <w:pPr>
            <w:pStyle w:val="TM1"/>
            <w:tabs>
              <w:tab w:val="left" w:pos="440"/>
              <w:tab w:val="right" w:leader="dot" w:pos="9062"/>
            </w:tabs>
            <w:rPr>
              <w:rFonts w:eastAsiaTheme="minorEastAsia"/>
              <w:noProof/>
              <w:lang w:eastAsia="fr-FR"/>
            </w:rPr>
          </w:pPr>
          <w:hyperlink w:anchor="_Toc75162448" w:history="1">
            <w:r w:rsidR="00710860" w:rsidRPr="00556997">
              <w:rPr>
                <w:rStyle w:val="Lienhypertexte"/>
                <w:noProof/>
              </w:rPr>
              <w:t>4.</w:t>
            </w:r>
            <w:r w:rsidR="00710860" w:rsidRPr="00556997">
              <w:rPr>
                <w:rFonts w:eastAsiaTheme="minorEastAsia"/>
                <w:noProof/>
                <w:lang w:eastAsia="fr-FR"/>
              </w:rPr>
              <w:tab/>
            </w:r>
            <w:r w:rsidR="00710860" w:rsidRPr="00556997">
              <w:rPr>
                <w:rStyle w:val="Lienhypertexte"/>
                <w:noProof/>
              </w:rPr>
              <w:t>Fiches descriptives des indicateurs</w:t>
            </w:r>
            <w:r w:rsidR="00710860" w:rsidRPr="00556997">
              <w:rPr>
                <w:noProof/>
                <w:webHidden/>
              </w:rPr>
              <w:tab/>
            </w:r>
            <w:r w:rsidR="00710860" w:rsidRPr="00556997">
              <w:rPr>
                <w:noProof/>
                <w:webHidden/>
              </w:rPr>
              <w:fldChar w:fldCharType="begin"/>
            </w:r>
            <w:r w:rsidR="00710860" w:rsidRPr="00556997">
              <w:rPr>
                <w:noProof/>
                <w:webHidden/>
              </w:rPr>
              <w:instrText xml:space="preserve"> PAGEREF _Toc75162448 \h </w:instrText>
            </w:r>
            <w:r w:rsidR="00710860" w:rsidRPr="00556997">
              <w:rPr>
                <w:noProof/>
                <w:webHidden/>
              </w:rPr>
            </w:r>
            <w:r w:rsidR="00710860" w:rsidRPr="00556997">
              <w:rPr>
                <w:noProof/>
                <w:webHidden/>
              </w:rPr>
              <w:fldChar w:fldCharType="separate"/>
            </w:r>
            <w:r w:rsidR="00710860" w:rsidRPr="00556997">
              <w:rPr>
                <w:noProof/>
                <w:webHidden/>
              </w:rPr>
              <w:t>5</w:t>
            </w:r>
            <w:r w:rsidR="00710860" w:rsidRPr="00556997">
              <w:rPr>
                <w:noProof/>
                <w:webHidden/>
              </w:rPr>
              <w:fldChar w:fldCharType="end"/>
            </w:r>
          </w:hyperlink>
        </w:p>
        <w:p w14:paraId="376DEFFE" w14:textId="13DE0DCE" w:rsidR="00710860" w:rsidRDefault="00060340">
          <w:pPr>
            <w:pStyle w:val="TM2"/>
            <w:tabs>
              <w:tab w:val="right" w:leader="dot" w:pos="9062"/>
            </w:tabs>
            <w:rPr>
              <w:rFonts w:eastAsiaTheme="minorEastAsia"/>
              <w:noProof/>
              <w:lang w:eastAsia="fr-FR"/>
            </w:rPr>
          </w:pPr>
          <w:hyperlink w:anchor="_Toc75162449" w:history="1">
            <w:r w:rsidR="00710860" w:rsidRPr="00BC5E71">
              <w:rPr>
                <w:rStyle w:val="Lienhypertexte"/>
                <w:noProof/>
              </w:rPr>
              <w:t xml:space="preserve">Existence des documents </w:t>
            </w:r>
            <w:r w:rsidR="00710860" w:rsidRPr="00BC5E71">
              <w:rPr>
                <w:rStyle w:val="Lienhypertexte"/>
                <w:rFonts w:cs="Calibri"/>
                <w:noProof/>
              </w:rPr>
              <w:t xml:space="preserve">cadres référentiels </w:t>
            </w:r>
            <w:r w:rsidR="00710860" w:rsidRPr="00BC5E71">
              <w:rPr>
                <w:rStyle w:val="Lienhypertexte"/>
                <w:noProof/>
              </w:rPr>
              <w:t>relatifs aux bois énergie et aux alternatives de cuisson à chaque niveau</w:t>
            </w:r>
            <w:r w:rsidR="00710860">
              <w:rPr>
                <w:noProof/>
                <w:webHidden/>
              </w:rPr>
              <w:tab/>
            </w:r>
            <w:r w:rsidR="00710860">
              <w:rPr>
                <w:noProof/>
                <w:webHidden/>
              </w:rPr>
              <w:fldChar w:fldCharType="begin"/>
            </w:r>
            <w:r w:rsidR="00710860">
              <w:rPr>
                <w:noProof/>
                <w:webHidden/>
              </w:rPr>
              <w:instrText xml:space="preserve"> PAGEREF _Toc75162449 \h </w:instrText>
            </w:r>
            <w:r w:rsidR="00710860">
              <w:rPr>
                <w:noProof/>
                <w:webHidden/>
              </w:rPr>
            </w:r>
            <w:r w:rsidR="00710860">
              <w:rPr>
                <w:noProof/>
                <w:webHidden/>
              </w:rPr>
              <w:fldChar w:fldCharType="separate"/>
            </w:r>
            <w:r w:rsidR="00710860">
              <w:rPr>
                <w:noProof/>
                <w:webHidden/>
              </w:rPr>
              <w:t>5</w:t>
            </w:r>
            <w:r w:rsidR="00710860">
              <w:rPr>
                <w:noProof/>
                <w:webHidden/>
              </w:rPr>
              <w:fldChar w:fldCharType="end"/>
            </w:r>
          </w:hyperlink>
        </w:p>
        <w:p w14:paraId="0F9CB792" w14:textId="48BB48C7" w:rsidR="00710860" w:rsidRDefault="00060340">
          <w:pPr>
            <w:pStyle w:val="TM2"/>
            <w:tabs>
              <w:tab w:val="right" w:leader="dot" w:pos="9062"/>
            </w:tabs>
            <w:rPr>
              <w:rFonts w:eastAsiaTheme="minorEastAsia"/>
              <w:noProof/>
              <w:lang w:eastAsia="fr-FR"/>
            </w:rPr>
          </w:pPr>
          <w:hyperlink w:anchor="_Toc75162450" w:history="1">
            <w:r w:rsidR="00710860" w:rsidRPr="00BC5E71">
              <w:rPr>
                <w:rStyle w:val="Lienhypertexte"/>
                <w:noProof/>
              </w:rPr>
              <w:t>Superficie potentielle en bois énergie des forêts naturelles</w:t>
            </w:r>
            <w:r w:rsidR="00710860">
              <w:rPr>
                <w:noProof/>
                <w:webHidden/>
              </w:rPr>
              <w:tab/>
            </w:r>
            <w:r w:rsidR="00710860">
              <w:rPr>
                <w:noProof/>
                <w:webHidden/>
              </w:rPr>
              <w:fldChar w:fldCharType="begin"/>
            </w:r>
            <w:r w:rsidR="00710860">
              <w:rPr>
                <w:noProof/>
                <w:webHidden/>
              </w:rPr>
              <w:instrText xml:space="preserve"> PAGEREF _Toc75162450 \h </w:instrText>
            </w:r>
            <w:r w:rsidR="00710860">
              <w:rPr>
                <w:noProof/>
                <w:webHidden/>
              </w:rPr>
            </w:r>
            <w:r w:rsidR="00710860">
              <w:rPr>
                <w:noProof/>
                <w:webHidden/>
              </w:rPr>
              <w:fldChar w:fldCharType="separate"/>
            </w:r>
            <w:r w:rsidR="00710860">
              <w:rPr>
                <w:noProof/>
                <w:webHidden/>
              </w:rPr>
              <w:t>6</w:t>
            </w:r>
            <w:r w:rsidR="00710860">
              <w:rPr>
                <w:noProof/>
                <w:webHidden/>
              </w:rPr>
              <w:fldChar w:fldCharType="end"/>
            </w:r>
          </w:hyperlink>
        </w:p>
        <w:p w14:paraId="0A3B1CC8" w14:textId="52E5D2B9" w:rsidR="00710860" w:rsidRDefault="00060340">
          <w:pPr>
            <w:pStyle w:val="TM2"/>
            <w:tabs>
              <w:tab w:val="right" w:leader="dot" w:pos="9062"/>
            </w:tabs>
            <w:rPr>
              <w:rFonts w:eastAsiaTheme="minorEastAsia"/>
              <w:noProof/>
              <w:lang w:eastAsia="fr-FR"/>
            </w:rPr>
          </w:pPr>
          <w:hyperlink w:anchor="_Toc75162451" w:history="1">
            <w:r w:rsidR="00710860" w:rsidRPr="00BC5E71">
              <w:rPr>
                <w:rStyle w:val="Lienhypertexte"/>
                <w:noProof/>
              </w:rPr>
              <w:t>Superficie potentielle en bois énergie des reboisements</w:t>
            </w:r>
            <w:r w:rsidR="00710860">
              <w:rPr>
                <w:noProof/>
                <w:webHidden/>
              </w:rPr>
              <w:tab/>
            </w:r>
            <w:r w:rsidR="00710860">
              <w:rPr>
                <w:noProof/>
                <w:webHidden/>
              </w:rPr>
              <w:fldChar w:fldCharType="begin"/>
            </w:r>
            <w:r w:rsidR="00710860">
              <w:rPr>
                <w:noProof/>
                <w:webHidden/>
              </w:rPr>
              <w:instrText xml:space="preserve"> PAGEREF _Toc75162451 \h </w:instrText>
            </w:r>
            <w:r w:rsidR="00710860">
              <w:rPr>
                <w:noProof/>
                <w:webHidden/>
              </w:rPr>
            </w:r>
            <w:r w:rsidR="00710860">
              <w:rPr>
                <w:noProof/>
                <w:webHidden/>
              </w:rPr>
              <w:fldChar w:fldCharType="separate"/>
            </w:r>
            <w:r w:rsidR="00710860">
              <w:rPr>
                <w:noProof/>
                <w:webHidden/>
              </w:rPr>
              <w:t>7</w:t>
            </w:r>
            <w:r w:rsidR="00710860">
              <w:rPr>
                <w:noProof/>
                <w:webHidden/>
              </w:rPr>
              <w:fldChar w:fldCharType="end"/>
            </w:r>
          </w:hyperlink>
        </w:p>
        <w:p w14:paraId="18CBD5BD" w14:textId="27762823" w:rsidR="00710860" w:rsidRDefault="00060340">
          <w:pPr>
            <w:pStyle w:val="TM2"/>
            <w:tabs>
              <w:tab w:val="right" w:leader="dot" w:pos="9062"/>
            </w:tabs>
            <w:rPr>
              <w:rFonts w:eastAsiaTheme="minorEastAsia"/>
              <w:noProof/>
              <w:lang w:eastAsia="fr-FR"/>
            </w:rPr>
          </w:pPr>
          <w:hyperlink w:anchor="_Toc75162452" w:history="1">
            <w:r w:rsidR="00710860" w:rsidRPr="00BC5E71">
              <w:rPr>
                <w:rStyle w:val="Lienhypertexte"/>
                <w:noProof/>
              </w:rPr>
              <w:t>Nombre de plants produits prêts à être mis en terre</w:t>
            </w:r>
            <w:r w:rsidR="00710860">
              <w:rPr>
                <w:noProof/>
                <w:webHidden/>
              </w:rPr>
              <w:tab/>
            </w:r>
            <w:r w:rsidR="00710860">
              <w:rPr>
                <w:noProof/>
                <w:webHidden/>
              </w:rPr>
              <w:fldChar w:fldCharType="begin"/>
            </w:r>
            <w:r w:rsidR="00710860">
              <w:rPr>
                <w:noProof/>
                <w:webHidden/>
              </w:rPr>
              <w:instrText xml:space="preserve"> PAGEREF _Toc75162452 \h </w:instrText>
            </w:r>
            <w:r w:rsidR="00710860">
              <w:rPr>
                <w:noProof/>
                <w:webHidden/>
              </w:rPr>
            </w:r>
            <w:r w:rsidR="00710860">
              <w:rPr>
                <w:noProof/>
                <w:webHidden/>
              </w:rPr>
              <w:fldChar w:fldCharType="separate"/>
            </w:r>
            <w:r w:rsidR="00710860">
              <w:rPr>
                <w:noProof/>
                <w:webHidden/>
              </w:rPr>
              <w:t>9</w:t>
            </w:r>
            <w:r w:rsidR="00710860">
              <w:rPr>
                <w:noProof/>
                <w:webHidden/>
              </w:rPr>
              <w:fldChar w:fldCharType="end"/>
            </w:r>
          </w:hyperlink>
        </w:p>
        <w:p w14:paraId="5ED36629" w14:textId="6BD1667B" w:rsidR="00710860" w:rsidRDefault="00060340">
          <w:pPr>
            <w:pStyle w:val="TM2"/>
            <w:tabs>
              <w:tab w:val="right" w:leader="dot" w:pos="9062"/>
            </w:tabs>
            <w:rPr>
              <w:rFonts w:eastAsiaTheme="minorEastAsia"/>
              <w:noProof/>
              <w:lang w:eastAsia="fr-FR"/>
            </w:rPr>
          </w:pPr>
          <w:hyperlink w:anchor="_Toc75162453" w:history="1">
            <w:r w:rsidR="00710860" w:rsidRPr="00BC5E71">
              <w:rPr>
                <w:rStyle w:val="Lienhypertexte"/>
                <w:noProof/>
              </w:rPr>
              <w:t>Nombre des différents types d’équipement de cuisson disponible pour l’offre</w:t>
            </w:r>
            <w:r w:rsidR="00710860">
              <w:rPr>
                <w:noProof/>
                <w:webHidden/>
              </w:rPr>
              <w:tab/>
            </w:r>
            <w:r w:rsidR="00710860">
              <w:rPr>
                <w:noProof/>
                <w:webHidden/>
              </w:rPr>
              <w:fldChar w:fldCharType="begin"/>
            </w:r>
            <w:r w:rsidR="00710860">
              <w:rPr>
                <w:noProof/>
                <w:webHidden/>
              </w:rPr>
              <w:instrText xml:space="preserve"> PAGEREF _Toc75162453 \h </w:instrText>
            </w:r>
            <w:r w:rsidR="00710860">
              <w:rPr>
                <w:noProof/>
                <w:webHidden/>
              </w:rPr>
            </w:r>
            <w:r w:rsidR="00710860">
              <w:rPr>
                <w:noProof/>
                <w:webHidden/>
              </w:rPr>
              <w:fldChar w:fldCharType="separate"/>
            </w:r>
            <w:r w:rsidR="00710860">
              <w:rPr>
                <w:noProof/>
                <w:webHidden/>
              </w:rPr>
              <w:t>11</w:t>
            </w:r>
            <w:r w:rsidR="00710860">
              <w:rPr>
                <w:noProof/>
                <w:webHidden/>
              </w:rPr>
              <w:fldChar w:fldCharType="end"/>
            </w:r>
          </w:hyperlink>
        </w:p>
        <w:p w14:paraId="6F031D11" w14:textId="07F6236E" w:rsidR="00710860" w:rsidRDefault="00060340">
          <w:pPr>
            <w:pStyle w:val="TM2"/>
            <w:tabs>
              <w:tab w:val="right" w:leader="dot" w:pos="9062"/>
            </w:tabs>
            <w:rPr>
              <w:rFonts w:eastAsiaTheme="minorEastAsia"/>
              <w:noProof/>
              <w:lang w:eastAsia="fr-FR"/>
            </w:rPr>
          </w:pPr>
          <w:hyperlink w:anchor="_Toc75162454" w:history="1">
            <w:r w:rsidR="00710860" w:rsidRPr="00BC5E71">
              <w:rPr>
                <w:rStyle w:val="Lienhypertexte"/>
                <w:noProof/>
              </w:rPr>
              <w:t>Quantité d’énergie disponible issue de différents types d’alternatives de cuisson</w:t>
            </w:r>
            <w:r w:rsidR="00710860">
              <w:rPr>
                <w:noProof/>
                <w:webHidden/>
              </w:rPr>
              <w:tab/>
            </w:r>
            <w:r w:rsidR="00710860">
              <w:rPr>
                <w:noProof/>
                <w:webHidden/>
              </w:rPr>
              <w:fldChar w:fldCharType="begin"/>
            </w:r>
            <w:r w:rsidR="00710860">
              <w:rPr>
                <w:noProof/>
                <w:webHidden/>
              </w:rPr>
              <w:instrText xml:space="preserve"> PAGEREF _Toc75162454 \h </w:instrText>
            </w:r>
            <w:r w:rsidR="00710860">
              <w:rPr>
                <w:noProof/>
                <w:webHidden/>
              </w:rPr>
            </w:r>
            <w:r w:rsidR="00710860">
              <w:rPr>
                <w:noProof/>
                <w:webHidden/>
              </w:rPr>
              <w:fldChar w:fldCharType="separate"/>
            </w:r>
            <w:r w:rsidR="00710860">
              <w:rPr>
                <w:noProof/>
                <w:webHidden/>
              </w:rPr>
              <w:t>12</w:t>
            </w:r>
            <w:r w:rsidR="00710860">
              <w:rPr>
                <w:noProof/>
                <w:webHidden/>
              </w:rPr>
              <w:fldChar w:fldCharType="end"/>
            </w:r>
          </w:hyperlink>
        </w:p>
        <w:p w14:paraId="657EFDC6" w14:textId="38B3F58C" w:rsidR="00710860" w:rsidRDefault="00060340">
          <w:pPr>
            <w:pStyle w:val="TM2"/>
            <w:tabs>
              <w:tab w:val="right" w:leader="dot" w:pos="9062"/>
            </w:tabs>
            <w:rPr>
              <w:rFonts w:eastAsiaTheme="minorEastAsia"/>
              <w:noProof/>
              <w:lang w:eastAsia="fr-FR"/>
            </w:rPr>
          </w:pPr>
          <w:hyperlink w:anchor="_Toc75162455" w:history="1">
            <w:r w:rsidR="00710860" w:rsidRPr="00BC5E71">
              <w:rPr>
                <w:rStyle w:val="Lienhypertexte"/>
                <w:noProof/>
              </w:rPr>
              <w:t>Taux d'adoption des pratiques/techniques de carbonisation améliorées par les charbonniers formellement recensés</w:t>
            </w:r>
            <w:r w:rsidR="00710860">
              <w:rPr>
                <w:noProof/>
                <w:webHidden/>
              </w:rPr>
              <w:tab/>
            </w:r>
            <w:r w:rsidR="00710860">
              <w:rPr>
                <w:noProof/>
                <w:webHidden/>
              </w:rPr>
              <w:fldChar w:fldCharType="begin"/>
            </w:r>
            <w:r w:rsidR="00710860">
              <w:rPr>
                <w:noProof/>
                <w:webHidden/>
              </w:rPr>
              <w:instrText xml:space="preserve"> PAGEREF _Toc75162455 \h </w:instrText>
            </w:r>
            <w:r w:rsidR="00710860">
              <w:rPr>
                <w:noProof/>
                <w:webHidden/>
              </w:rPr>
            </w:r>
            <w:r w:rsidR="00710860">
              <w:rPr>
                <w:noProof/>
                <w:webHidden/>
              </w:rPr>
              <w:fldChar w:fldCharType="separate"/>
            </w:r>
            <w:r w:rsidR="00710860">
              <w:rPr>
                <w:noProof/>
                <w:webHidden/>
              </w:rPr>
              <w:t>13</w:t>
            </w:r>
            <w:r w:rsidR="00710860">
              <w:rPr>
                <w:noProof/>
                <w:webHidden/>
              </w:rPr>
              <w:fldChar w:fldCharType="end"/>
            </w:r>
          </w:hyperlink>
        </w:p>
        <w:p w14:paraId="53DA84A6" w14:textId="0CB06C18" w:rsidR="00710860" w:rsidRDefault="00060340">
          <w:pPr>
            <w:pStyle w:val="TM2"/>
            <w:tabs>
              <w:tab w:val="right" w:leader="dot" w:pos="9062"/>
            </w:tabs>
            <w:rPr>
              <w:rFonts w:eastAsiaTheme="minorEastAsia"/>
              <w:noProof/>
              <w:lang w:eastAsia="fr-FR"/>
            </w:rPr>
          </w:pPr>
          <w:hyperlink w:anchor="_Toc75162456" w:history="1">
            <w:r w:rsidR="00710860" w:rsidRPr="00BC5E71">
              <w:rPr>
                <w:rStyle w:val="Lienhypertexte"/>
                <w:noProof/>
              </w:rPr>
              <w:t>Pourcentage moyen de production de charbon de bois par type de technique de carbonisation</w:t>
            </w:r>
            <w:r w:rsidR="00710860">
              <w:rPr>
                <w:noProof/>
                <w:webHidden/>
              </w:rPr>
              <w:tab/>
            </w:r>
            <w:r w:rsidR="00710860">
              <w:rPr>
                <w:noProof/>
                <w:webHidden/>
              </w:rPr>
              <w:fldChar w:fldCharType="begin"/>
            </w:r>
            <w:r w:rsidR="00710860">
              <w:rPr>
                <w:noProof/>
                <w:webHidden/>
              </w:rPr>
              <w:instrText xml:space="preserve"> PAGEREF _Toc75162456 \h </w:instrText>
            </w:r>
            <w:r w:rsidR="00710860">
              <w:rPr>
                <w:noProof/>
                <w:webHidden/>
              </w:rPr>
            </w:r>
            <w:r w:rsidR="00710860">
              <w:rPr>
                <w:noProof/>
                <w:webHidden/>
              </w:rPr>
              <w:fldChar w:fldCharType="separate"/>
            </w:r>
            <w:r w:rsidR="00710860">
              <w:rPr>
                <w:noProof/>
                <w:webHidden/>
              </w:rPr>
              <w:t>14</w:t>
            </w:r>
            <w:r w:rsidR="00710860">
              <w:rPr>
                <w:noProof/>
                <w:webHidden/>
              </w:rPr>
              <w:fldChar w:fldCharType="end"/>
            </w:r>
          </w:hyperlink>
        </w:p>
        <w:p w14:paraId="011FA77B" w14:textId="1BFB142A" w:rsidR="00710860" w:rsidRDefault="00060340">
          <w:pPr>
            <w:pStyle w:val="TM2"/>
            <w:tabs>
              <w:tab w:val="right" w:leader="dot" w:pos="9062"/>
            </w:tabs>
            <w:rPr>
              <w:rFonts w:eastAsiaTheme="minorEastAsia"/>
              <w:noProof/>
              <w:lang w:eastAsia="fr-FR"/>
            </w:rPr>
          </w:pPr>
          <w:hyperlink w:anchor="_Toc75162457" w:history="1">
            <w:r w:rsidR="00710860" w:rsidRPr="00BC5E71">
              <w:rPr>
                <w:rStyle w:val="Lienhypertexte"/>
                <w:noProof/>
              </w:rPr>
              <w:t>Nombre des opérateurs formels en bois énergie</w:t>
            </w:r>
            <w:r w:rsidR="00710860">
              <w:rPr>
                <w:noProof/>
                <w:webHidden/>
              </w:rPr>
              <w:tab/>
            </w:r>
            <w:r w:rsidR="00710860">
              <w:rPr>
                <w:noProof/>
                <w:webHidden/>
              </w:rPr>
              <w:fldChar w:fldCharType="begin"/>
            </w:r>
            <w:r w:rsidR="00710860">
              <w:rPr>
                <w:noProof/>
                <w:webHidden/>
              </w:rPr>
              <w:instrText xml:space="preserve"> PAGEREF _Toc75162457 \h </w:instrText>
            </w:r>
            <w:r w:rsidR="00710860">
              <w:rPr>
                <w:noProof/>
                <w:webHidden/>
              </w:rPr>
            </w:r>
            <w:r w:rsidR="00710860">
              <w:rPr>
                <w:noProof/>
                <w:webHidden/>
              </w:rPr>
              <w:fldChar w:fldCharType="separate"/>
            </w:r>
            <w:r w:rsidR="00710860">
              <w:rPr>
                <w:noProof/>
                <w:webHidden/>
              </w:rPr>
              <w:t>15</w:t>
            </w:r>
            <w:r w:rsidR="00710860">
              <w:rPr>
                <w:noProof/>
                <w:webHidden/>
              </w:rPr>
              <w:fldChar w:fldCharType="end"/>
            </w:r>
          </w:hyperlink>
        </w:p>
        <w:p w14:paraId="3668BEA0" w14:textId="21DA428D" w:rsidR="00710860" w:rsidRDefault="00060340">
          <w:pPr>
            <w:pStyle w:val="TM2"/>
            <w:tabs>
              <w:tab w:val="right" w:leader="dot" w:pos="9062"/>
            </w:tabs>
            <w:rPr>
              <w:rFonts w:eastAsiaTheme="minorEastAsia"/>
              <w:noProof/>
              <w:lang w:eastAsia="fr-FR"/>
            </w:rPr>
          </w:pPr>
          <w:hyperlink w:anchor="_Toc75162458" w:history="1">
            <w:r w:rsidR="00710860" w:rsidRPr="00BC5E71">
              <w:rPr>
                <w:rStyle w:val="Lienhypertexte"/>
                <w:noProof/>
              </w:rPr>
              <w:t>Prix moyen d’achat des différents types de produits bois énergie selon les opérateurs</w:t>
            </w:r>
            <w:r w:rsidR="00710860">
              <w:rPr>
                <w:noProof/>
                <w:webHidden/>
              </w:rPr>
              <w:tab/>
            </w:r>
            <w:r w:rsidR="00710860">
              <w:rPr>
                <w:noProof/>
                <w:webHidden/>
              </w:rPr>
              <w:fldChar w:fldCharType="begin"/>
            </w:r>
            <w:r w:rsidR="00710860">
              <w:rPr>
                <w:noProof/>
                <w:webHidden/>
              </w:rPr>
              <w:instrText xml:space="preserve"> PAGEREF _Toc75162458 \h </w:instrText>
            </w:r>
            <w:r w:rsidR="00710860">
              <w:rPr>
                <w:noProof/>
                <w:webHidden/>
              </w:rPr>
            </w:r>
            <w:r w:rsidR="00710860">
              <w:rPr>
                <w:noProof/>
                <w:webHidden/>
              </w:rPr>
              <w:fldChar w:fldCharType="separate"/>
            </w:r>
            <w:r w:rsidR="00710860">
              <w:rPr>
                <w:noProof/>
                <w:webHidden/>
              </w:rPr>
              <w:t>16</w:t>
            </w:r>
            <w:r w:rsidR="00710860">
              <w:rPr>
                <w:noProof/>
                <w:webHidden/>
              </w:rPr>
              <w:fldChar w:fldCharType="end"/>
            </w:r>
          </w:hyperlink>
        </w:p>
        <w:p w14:paraId="6B65C8A8" w14:textId="5038CBC9" w:rsidR="00710860" w:rsidRDefault="00060340">
          <w:pPr>
            <w:pStyle w:val="TM2"/>
            <w:tabs>
              <w:tab w:val="right" w:leader="dot" w:pos="9062"/>
            </w:tabs>
            <w:rPr>
              <w:rFonts w:eastAsiaTheme="minorEastAsia"/>
              <w:noProof/>
              <w:lang w:eastAsia="fr-FR"/>
            </w:rPr>
          </w:pPr>
          <w:hyperlink w:anchor="_Toc75162459" w:history="1">
            <w:r w:rsidR="00710860" w:rsidRPr="00BC5E71">
              <w:rPr>
                <w:rStyle w:val="Lienhypertexte"/>
                <w:noProof/>
              </w:rPr>
              <w:t>Montant total de taxes perçues relatives aux activités liées au bois énergie</w:t>
            </w:r>
            <w:r w:rsidR="00710860">
              <w:rPr>
                <w:noProof/>
                <w:webHidden/>
              </w:rPr>
              <w:tab/>
            </w:r>
            <w:r w:rsidR="00710860">
              <w:rPr>
                <w:noProof/>
                <w:webHidden/>
              </w:rPr>
              <w:fldChar w:fldCharType="begin"/>
            </w:r>
            <w:r w:rsidR="00710860">
              <w:rPr>
                <w:noProof/>
                <w:webHidden/>
              </w:rPr>
              <w:instrText xml:space="preserve"> PAGEREF _Toc75162459 \h </w:instrText>
            </w:r>
            <w:r w:rsidR="00710860">
              <w:rPr>
                <w:noProof/>
                <w:webHidden/>
              </w:rPr>
            </w:r>
            <w:r w:rsidR="00710860">
              <w:rPr>
                <w:noProof/>
                <w:webHidden/>
              </w:rPr>
              <w:fldChar w:fldCharType="separate"/>
            </w:r>
            <w:r w:rsidR="00710860">
              <w:rPr>
                <w:noProof/>
                <w:webHidden/>
              </w:rPr>
              <w:t>17</w:t>
            </w:r>
            <w:r w:rsidR="00710860">
              <w:rPr>
                <w:noProof/>
                <w:webHidden/>
              </w:rPr>
              <w:fldChar w:fldCharType="end"/>
            </w:r>
          </w:hyperlink>
        </w:p>
        <w:p w14:paraId="3ACFB3BE" w14:textId="5C9562B7" w:rsidR="00710860" w:rsidRDefault="00060340">
          <w:pPr>
            <w:pStyle w:val="TM2"/>
            <w:tabs>
              <w:tab w:val="right" w:leader="dot" w:pos="9062"/>
            </w:tabs>
            <w:rPr>
              <w:rFonts w:eastAsiaTheme="minorEastAsia"/>
              <w:noProof/>
              <w:lang w:eastAsia="fr-FR"/>
            </w:rPr>
          </w:pPr>
          <w:hyperlink w:anchor="_Toc75162460" w:history="1">
            <w:r w:rsidR="00710860" w:rsidRPr="00BC5E71">
              <w:rPr>
                <w:rStyle w:val="Lienhypertexte"/>
                <w:noProof/>
              </w:rPr>
              <w:t>Taux de produits bois énergie illégaux saisis</w:t>
            </w:r>
            <w:r w:rsidR="00710860">
              <w:rPr>
                <w:noProof/>
                <w:webHidden/>
              </w:rPr>
              <w:tab/>
            </w:r>
            <w:r w:rsidR="00710860">
              <w:rPr>
                <w:noProof/>
                <w:webHidden/>
              </w:rPr>
              <w:fldChar w:fldCharType="begin"/>
            </w:r>
            <w:r w:rsidR="00710860">
              <w:rPr>
                <w:noProof/>
                <w:webHidden/>
              </w:rPr>
              <w:instrText xml:space="preserve"> PAGEREF _Toc75162460 \h </w:instrText>
            </w:r>
            <w:r w:rsidR="00710860">
              <w:rPr>
                <w:noProof/>
                <w:webHidden/>
              </w:rPr>
            </w:r>
            <w:r w:rsidR="00710860">
              <w:rPr>
                <w:noProof/>
                <w:webHidden/>
              </w:rPr>
              <w:fldChar w:fldCharType="separate"/>
            </w:r>
            <w:r w:rsidR="00710860">
              <w:rPr>
                <w:noProof/>
                <w:webHidden/>
              </w:rPr>
              <w:t>18</w:t>
            </w:r>
            <w:r w:rsidR="00710860">
              <w:rPr>
                <w:noProof/>
                <w:webHidden/>
              </w:rPr>
              <w:fldChar w:fldCharType="end"/>
            </w:r>
          </w:hyperlink>
        </w:p>
        <w:p w14:paraId="4D2F4A47" w14:textId="37DADECE" w:rsidR="00710860" w:rsidRDefault="00060340">
          <w:pPr>
            <w:pStyle w:val="TM2"/>
            <w:tabs>
              <w:tab w:val="right" w:leader="dot" w:pos="9062"/>
            </w:tabs>
            <w:rPr>
              <w:rFonts w:eastAsiaTheme="minorEastAsia"/>
              <w:noProof/>
              <w:lang w:eastAsia="fr-FR"/>
            </w:rPr>
          </w:pPr>
          <w:hyperlink w:anchor="_Toc75162461" w:history="1">
            <w:r w:rsidR="00710860" w:rsidRPr="00BC5E71">
              <w:rPr>
                <w:rStyle w:val="Lienhypertexte"/>
                <w:noProof/>
              </w:rPr>
              <w:t>Quantité des différents types de produits bois énergie en circulation</w:t>
            </w:r>
            <w:r w:rsidR="00710860">
              <w:rPr>
                <w:noProof/>
                <w:webHidden/>
              </w:rPr>
              <w:tab/>
            </w:r>
            <w:r w:rsidR="00710860">
              <w:rPr>
                <w:noProof/>
                <w:webHidden/>
              </w:rPr>
              <w:fldChar w:fldCharType="begin"/>
            </w:r>
            <w:r w:rsidR="00710860">
              <w:rPr>
                <w:noProof/>
                <w:webHidden/>
              </w:rPr>
              <w:instrText xml:space="preserve"> PAGEREF _Toc75162461 \h </w:instrText>
            </w:r>
            <w:r w:rsidR="00710860">
              <w:rPr>
                <w:noProof/>
                <w:webHidden/>
              </w:rPr>
            </w:r>
            <w:r w:rsidR="00710860">
              <w:rPr>
                <w:noProof/>
                <w:webHidden/>
              </w:rPr>
              <w:fldChar w:fldCharType="separate"/>
            </w:r>
            <w:r w:rsidR="00710860">
              <w:rPr>
                <w:noProof/>
                <w:webHidden/>
              </w:rPr>
              <w:t>19</w:t>
            </w:r>
            <w:r w:rsidR="00710860">
              <w:rPr>
                <w:noProof/>
                <w:webHidden/>
              </w:rPr>
              <w:fldChar w:fldCharType="end"/>
            </w:r>
          </w:hyperlink>
        </w:p>
        <w:p w14:paraId="2A415FDC" w14:textId="04AC4825" w:rsidR="00710860" w:rsidRDefault="00060340">
          <w:pPr>
            <w:pStyle w:val="TM2"/>
            <w:tabs>
              <w:tab w:val="right" w:leader="dot" w:pos="9062"/>
            </w:tabs>
            <w:rPr>
              <w:rFonts w:eastAsiaTheme="minorEastAsia"/>
              <w:noProof/>
              <w:lang w:eastAsia="fr-FR"/>
            </w:rPr>
          </w:pPr>
          <w:hyperlink w:anchor="_Toc75162462" w:history="1">
            <w:r w:rsidR="00710860" w:rsidRPr="00BC5E71">
              <w:rPr>
                <w:rStyle w:val="Lienhypertexte"/>
                <w:noProof/>
              </w:rPr>
              <w:t>Taux moyen d’utilisation des différents types d’équipement de cuisson</w:t>
            </w:r>
            <w:r w:rsidR="00710860">
              <w:rPr>
                <w:noProof/>
                <w:webHidden/>
              </w:rPr>
              <w:tab/>
            </w:r>
            <w:r w:rsidR="00710860">
              <w:rPr>
                <w:noProof/>
                <w:webHidden/>
              </w:rPr>
              <w:fldChar w:fldCharType="begin"/>
            </w:r>
            <w:r w:rsidR="00710860">
              <w:rPr>
                <w:noProof/>
                <w:webHidden/>
              </w:rPr>
              <w:instrText xml:space="preserve"> PAGEREF _Toc75162462 \h </w:instrText>
            </w:r>
            <w:r w:rsidR="00710860">
              <w:rPr>
                <w:noProof/>
                <w:webHidden/>
              </w:rPr>
            </w:r>
            <w:r w:rsidR="00710860">
              <w:rPr>
                <w:noProof/>
                <w:webHidden/>
              </w:rPr>
              <w:fldChar w:fldCharType="separate"/>
            </w:r>
            <w:r w:rsidR="00710860">
              <w:rPr>
                <w:noProof/>
                <w:webHidden/>
              </w:rPr>
              <w:t>20</w:t>
            </w:r>
            <w:r w:rsidR="00710860">
              <w:rPr>
                <w:noProof/>
                <w:webHidden/>
              </w:rPr>
              <w:fldChar w:fldCharType="end"/>
            </w:r>
          </w:hyperlink>
        </w:p>
        <w:p w14:paraId="29073B23" w14:textId="0FF57023" w:rsidR="00710860" w:rsidRDefault="00060340">
          <w:pPr>
            <w:pStyle w:val="TM2"/>
            <w:tabs>
              <w:tab w:val="right" w:leader="dot" w:pos="9062"/>
            </w:tabs>
            <w:rPr>
              <w:rFonts w:eastAsiaTheme="minorEastAsia"/>
              <w:noProof/>
              <w:lang w:eastAsia="fr-FR"/>
            </w:rPr>
          </w:pPr>
          <w:hyperlink w:anchor="_Toc75162463" w:history="1">
            <w:r w:rsidR="00710860" w:rsidRPr="00BC5E71">
              <w:rPr>
                <w:rStyle w:val="Lienhypertexte"/>
                <w:noProof/>
              </w:rPr>
              <w:t>Quantité totale annuelle consommée en bois énergie</w:t>
            </w:r>
            <w:r w:rsidR="00710860">
              <w:rPr>
                <w:noProof/>
                <w:webHidden/>
              </w:rPr>
              <w:tab/>
            </w:r>
            <w:r w:rsidR="00710860">
              <w:rPr>
                <w:noProof/>
                <w:webHidden/>
              </w:rPr>
              <w:fldChar w:fldCharType="begin"/>
            </w:r>
            <w:r w:rsidR="00710860">
              <w:rPr>
                <w:noProof/>
                <w:webHidden/>
              </w:rPr>
              <w:instrText xml:space="preserve"> PAGEREF _Toc75162463 \h </w:instrText>
            </w:r>
            <w:r w:rsidR="00710860">
              <w:rPr>
                <w:noProof/>
                <w:webHidden/>
              </w:rPr>
            </w:r>
            <w:r w:rsidR="00710860">
              <w:rPr>
                <w:noProof/>
                <w:webHidden/>
              </w:rPr>
              <w:fldChar w:fldCharType="separate"/>
            </w:r>
            <w:r w:rsidR="00710860">
              <w:rPr>
                <w:noProof/>
                <w:webHidden/>
              </w:rPr>
              <w:t>22</w:t>
            </w:r>
            <w:r w:rsidR="00710860">
              <w:rPr>
                <w:noProof/>
                <w:webHidden/>
              </w:rPr>
              <w:fldChar w:fldCharType="end"/>
            </w:r>
          </w:hyperlink>
        </w:p>
        <w:p w14:paraId="15747ABE" w14:textId="64DECCAF" w:rsidR="00710860" w:rsidRDefault="00060340">
          <w:pPr>
            <w:pStyle w:val="TM2"/>
            <w:tabs>
              <w:tab w:val="right" w:leader="dot" w:pos="9062"/>
            </w:tabs>
            <w:rPr>
              <w:rFonts w:eastAsiaTheme="minorEastAsia"/>
              <w:noProof/>
              <w:lang w:eastAsia="fr-FR"/>
            </w:rPr>
          </w:pPr>
          <w:hyperlink w:anchor="_Toc75162464" w:history="1">
            <w:r w:rsidR="00710860" w:rsidRPr="00BC5E71">
              <w:rPr>
                <w:rStyle w:val="Lienhypertexte"/>
                <w:noProof/>
              </w:rPr>
              <w:t>Dépenses moyennes annuelles par type de bois énergie</w:t>
            </w:r>
            <w:r w:rsidR="00710860">
              <w:rPr>
                <w:noProof/>
                <w:webHidden/>
              </w:rPr>
              <w:tab/>
            </w:r>
            <w:r w:rsidR="00710860">
              <w:rPr>
                <w:noProof/>
                <w:webHidden/>
              </w:rPr>
              <w:fldChar w:fldCharType="begin"/>
            </w:r>
            <w:r w:rsidR="00710860">
              <w:rPr>
                <w:noProof/>
                <w:webHidden/>
              </w:rPr>
              <w:instrText xml:space="preserve"> PAGEREF _Toc75162464 \h </w:instrText>
            </w:r>
            <w:r w:rsidR="00710860">
              <w:rPr>
                <w:noProof/>
                <w:webHidden/>
              </w:rPr>
            </w:r>
            <w:r w:rsidR="00710860">
              <w:rPr>
                <w:noProof/>
                <w:webHidden/>
              </w:rPr>
              <w:fldChar w:fldCharType="separate"/>
            </w:r>
            <w:r w:rsidR="00710860">
              <w:rPr>
                <w:noProof/>
                <w:webHidden/>
              </w:rPr>
              <w:t>24</w:t>
            </w:r>
            <w:r w:rsidR="00710860">
              <w:rPr>
                <w:noProof/>
                <w:webHidden/>
              </w:rPr>
              <w:fldChar w:fldCharType="end"/>
            </w:r>
          </w:hyperlink>
        </w:p>
        <w:p w14:paraId="30959A60" w14:textId="66495AD9" w:rsidR="00710860" w:rsidRDefault="00060340">
          <w:pPr>
            <w:pStyle w:val="TM2"/>
            <w:tabs>
              <w:tab w:val="right" w:leader="dot" w:pos="9062"/>
            </w:tabs>
            <w:rPr>
              <w:rFonts w:eastAsiaTheme="minorEastAsia"/>
              <w:noProof/>
              <w:lang w:eastAsia="fr-FR"/>
            </w:rPr>
          </w:pPr>
          <w:hyperlink w:anchor="_Toc75162465" w:history="1">
            <w:r w:rsidR="00710860" w:rsidRPr="00BC5E71">
              <w:rPr>
                <w:rStyle w:val="Lienhypertexte"/>
                <w:noProof/>
              </w:rPr>
              <w:t>Taux de personnes touchées par des maladies causées par l’utilisation de bois énergie</w:t>
            </w:r>
            <w:r w:rsidR="00710860">
              <w:rPr>
                <w:noProof/>
                <w:webHidden/>
              </w:rPr>
              <w:tab/>
            </w:r>
            <w:r w:rsidR="00710860">
              <w:rPr>
                <w:noProof/>
                <w:webHidden/>
              </w:rPr>
              <w:fldChar w:fldCharType="begin"/>
            </w:r>
            <w:r w:rsidR="00710860">
              <w:rPr>
                <w:noProof/>
                <w:webHidden/>
              </w:rPr>
              <w:instrText xml:space="preserve"> PAGEREF _Toc75162465 \h </w:instrText>
            </w:r>
            <w:r w:rsidR="00710860">
              <w:rPr>
                <w:noProof/>
                <w:webHidden/>
              </w:rPr>
            </w:r>
            <w:r w:rsidR="00710860">
              <w:rPr>
                <w:noProof/>
                <w:webHidden/>
              </w:rPr>
              <w:fldChar w:fldCharType="separate"/>
            </w:r>
            <w:r w:rsidR="00710860">
              <w:rPr>
                <w:noProof/>
                <w:webHidden/>
              </w:rPr>
              <w:t>26</w:t>
            </w:r>
            <w:r w:rsidR="00710860">
              <w:rPr>
                <w:noProof/>
                <w:webHidden/>
              </w:rPr>
              <w:fldChar w:fldCharType="end"/>
            </w:r>
          </w:hyperlink>
        </w:p>
        <w:p w14:paraId="7650160F" w14:textId="3D2FE3C7" w:rsidR="00710860" w:rsidRDefault="00060340">
          <w:pPr>
            <w:pStyle w:val="TM2"/>
            <w:tabs>
              <w:tab w:val="right" w:leader="dot" w:pos="9062"/>
            </w:tabs>
            <w:rPr>
              <w:rFonts w:eastAsiaTheme="minorEastAsia"/>
              <w:noProof/>
              <w:lang w:eastAsia="fr-FR"/>
            </w:rPr>
          </w:pPr>
          <w:hyperlink w:anchor="_Toc75162466" w:history="1">
            <w:r w:rsidR="00710860" w:rsidRPr="00BC5E71">
              <w:rPr>
                <w:rStyle w:val="Lienhypertexte"/>
                <w:noProof/>
              </w:rPr>
              <w:t>Quantité totale d’énergie de cuisson alternative consommée</w:t>
            </w:r>
            <w:r w:rsidR="00710860">
              <w:rPr>
                <w:noProof/>
                <w:webHidden/>
              </w:rPr>
              <w:tab/>
            </w:r>
            <w:r w:rsidR="00710860">
              <w:rPr>
                <w:noProof/>
                <w:webHidden/>
              </w:rPr>
              <w:fldChar w:fldCharType="begin"/>
            </w:r>
            <w:r w:rsidR="00710860">
              <w:rPr>
                <w:noProof/>
                <w:webHidden/>
              </w:rPr>
              <w:instrText xml:space="preserve"> PAGEREF _Toc75162466 \h </w:instrText>
            </w:r>
            <w:r w:rsidR="00710860">
              <w:rPr>
                <w:noProof/>
                <w:webHidden/>
              </w:rPr>
            </w:r>
            <w:r w:rsidR="00710860">
              <w:rPr>
                <w:noProof/>
                <w:webHidden/>
              </w:rPr>
              <w:fldChar w:fldCharType="separate"/>
            </w:r>
            <w:r w:rsidR="00710860">
              <w:rPr>
                <w:noProof/>
                <w:webHidden/>
              </w:rPr>
              <w:t>27</w:t>
            </w:r>
            <w:r w:rsidR="00710860">
              <w:rPr>
                <w:noProof/>
                <w:webHidden/>
              </w:rPr>
              <w:fldChar w:fldCharType="end"/>
            </w:r>
          </w:hyperlink>
        </w:p>
        <w:p w14:paraId="796B3EB3" w14:textId="42136293" w:rsidR="00710860" w:rsidRDefault="00060340">
          <w:pPr>
            <w:pStyle w:val="TM2"/>
            <w:tabs>
              <w:tab w:val="right" w:leader="dot" w:pos="9062"/>
            </w:tabs>
            <w:rPr>
              <w:rFonts w:eastAsiaTheme="minorEastAsia"/>
              <w:noProof/>
              <w:lang w:eastAsia="fr-FR"/>
            </w:rPr>
          </w:pPr>
          <w:hyperlink w:anchor="_Toc75162467" w:history="1">
            <w:r w:rsidR="00710860" w:rsidRPr="00BC5E71">
              <w:rPr>
                <w:rStyle w:val="Lienhypertexte"/>
                <w:noProof/>
              </w:rPr>
              <w:t>Dépenses moyennes annuelles par type d’alternatives de cuisson</w:t>
            </w:r>
            <w:r w:rsidR="00710860">
              <w:rPr>
                <w:noProof/>
                <w:webHidden/>
              </w:rPr>
              <w:tab/>
            </w:r>
            <w:r w:rsidR="00710860">
              <w:rPr>
                <w:noProof/>
                <w:webHidden/>
              </w:rPr>
              <w:fldChar w:fldCharType="begin"/>
            </w:r>
            <w:r w:rsidR="00710860">
              <w:rPr>
                <w:noProof/>
                <w:webHidden/>
              </w:rPr>
              <w:instrText xml:space="preserve"> PAGEREF _Toc75162467 \h </w:instrText>
            </w:r>
            <w:r w:rsidR="00710860">
              <w:rPr>
                <w:noProof/>
                <w:webHidden/>
              </w:rPr>
            </w:r>
            <w:r w:rsidR="00710860">
              <w:rPr>
                <w:noProof/>
                <w:webHidden/>
              </w:rPr>
              <w:fldChar w:fldCharType="separate"/>
            </w:r>
            <w:r w:rsidR="00710860">
              <w:rPr>
                <w:noProof/>
                <w:webHidden/>
              </w:rPr>
              <w:t>28</w:t>
            </w:r>
            <w:r w:rsidR="00710860">
              <w:rPr>
                <w:noProof/>
                <w:webHidden/>
              </w:rPr>
              <w:fldChar w:fldCharType="end"/>
            </w:r>
          </w:hyperlink>
        </w:p>
        <w:p w14:paraId="22513F9B" w14:textId="5A8F9543" w:rsidR="00710860" w:rsidRDefault="00060340">
          <w:pPr>
            <w:pStyle w:val="TM1"/>
            <w:tabs>
              <w:tab w:val="left" w:pos="440"/>
              <w:tab w:val="right" w:leader="dot" w:pos="9062"/>
            </w:tabs>
            <w:rPr>
              <w:rFonts w:eastAsiaTheme="minorEastAsia"/>
              <w:noProof/>
              <w:lang w:eastAsia="fr-FR"/>
            </w:rPr>
          </w:pPr>
          <w:hyperlink w:anchor="_Toc75162468" w:history="1">
            <w:r w:rsidR="00710860" w:rsidRPr="00BC5E71">
              <w:rPr>
                <w:rStyle w:val="Lienhypertexte"/>
                <w:rFonts w:cstheme="minorHAnsi"/>
                <w:noProof/>
              </w:rPr>
              <w:t>5.</w:t>
            </w:r>
            <w:r w:rsidR="00710860">
              <w:rPr>
                <w:rFonts w:eastAsiaTheme="minorEastAsia"/>
                <w:noProof/>
                <w:lang w:eastAsia="fr-FR"/>
              </w:rPr>
              <w:tab/>
            </w:r>
            <w:r w:rsidR="00710860" w:rsidRPr="00BC5E71">
              <w:rPr>
                <w:rStyle w:val="Lienhypertexte"/>
                <w:rFonts w:cstheme="minorHAnsi"/>
                <w:noProof/>
              </w:rPr>
              <w:t>Fonctionnement et circulation des données</w:t>
            </w:r>
            <w:r w:rsidR="00710860">
              <w:rPr>
                <w:noProof/>
                <w:webHidden/>
              </w:rPr>
              <w:tab/>
            </w:r>
            <w:r w:rsidR="00710860">
              <w:rPr>
                <w:noProof/>
                <w:webHidden/>
              </w:rPr>
              <w:fldChar w:fldCharType="begin"/>
            </w:r>
            <w:r w:rsidR="00710860">
              <w:rPr>
                <w:noProof/>
                <w:webHidden/>
              </w:rPr>
              <w:instrText xml:space="preserve"> PAGEREF _Toc75162468 \h </w:instrText>
            </w:r>
            <w:r w:rsidR="00710860">
              <w:rPr>
                <w:noProof/>
                <w:webHidden/>
              </w:rPr>
            </w:r>
            <w:r w:rsidR="00710860">
              <w:rPr>
                <w:noProof/>
                <w:webHidden/>
              </w:rPr>
              <w:fldChar w:fldCharType="separate"/>
            </w:r>
            <w:r w:rsidR="00710860">
              <w:rPr>
                <w:noProof/>
                <w:webHidden/>
              </w:rPr>
              <w:t>29</w:t>
            </w:r>
            <w:r w:rsidR="00710860">
              <w:rPr>
                <w:noProof/>
                <w:webHidden/>
              </w:rPr>
              <w:fldChar w:fldCharType="end"/>
            </w:r>
          </w:hyperlink>
        </w:p>
        <w:p w14:paraId="2201EA69" w14:textId="28839996" w:rsidR="00710860" w:rsidRDefault="00060340">
          <w:pPr>
            <w:pStyle w:val="TM2"/>
            <w:tabs>
              <w:tab w:val="left" w:pos="880"/>
              <w:tab w:val="right" w:leader="dot" w:pos="9062"/>
            </w:tabs>
            <w:rPr>
              <w:rFonts w:eastAsiaTheme="minorEastAsia"/>
              <w:noProof/>
              <w:lang w:eastAsia="fr-FR"/>
            </w:rPr>
          </w:pPr>
          <w:hyperlink w:anchor="_Toc75162469" w:history="1">
            <w:r w:rsidR="00710860" w:rsidRPr="00BC5E71">
              <w:rPr>
                <w:rStyle w:val="Lienhypertexte"/>
                <w:i/>
                <w:iCs/>
                <w:noProof/>
              </w:rPr>
              <w:t>5.1.</w:t>
            </w:r>
            <w:r w:rsidR="00710860">
              <w:rPr>
                <w:rFonts w:eastAsiaTheme="minorEastAsia"/>
                <w:noProof/>
                <w:lang w:eastAsia="fr-FR"/>
              </w:rPr>
              <w:tab/>
            </w:r>
            <w:r w:rsidR="00710860" w:rsidRPr="00BC5E71">
              <w:rPr>
                <w:rStyle w:val="Lienhypertexte"/>
                <w:i/>
                <w:iCs/>
                <w:noProof/>
              </w:rPr>
              <w:t>Collecte de données</w:t>
            </w:r>
            <w:r w:rsidR="00710860">
              <w:rPr>
                <w:noProof/>
                <w:webHidden/>
              </w:rPr>
              <w:tab/>
            </w:r>
            <w:r w:rsidR="00710860">
              <w:rPr>
                <w:noProof/>
                <w:webHidden/>
              </w:rPr>
              <w:fldChar w:fldCharType="begin"/>
            </w:r>
            <w:r w:rsidR="00710860">
              <w:rPr>
                <w:noProof/>
                <w:webHidden/>
              </w:rPr>
              <w:instrText xml:space="preserve"> PAGEREF _Toc75162469 \h </w:instrText>
            </w:r>
            <w:r w:rsidR="00710860">
              <w:rPr>
                <w:noProof/>
                <w:webHidden/>
              </w:rPr>
            </w:r>
            <w:r w:rsidR="00710860">
              <w:rPr>
                <w:noProof/>
                <w:webHidden/>
              </w:rPr>
              <w:fldChar w:fldCharType="separate"/>
            </w:r>
            <w:r w:rsidR="00710860">
              <w:rPr>
                <w:noProof/>
                <w:webHidden/>
              </w:rPr>
              <w:t>30</w:t>
            </w:r>
            <w:r w:rsidR="00710860">
              <w:rPr>
                <w:noProof/>
                <w:webHidden/>
              </w:rPr>
              <w:fldChar w:fldCharType="end"/>
            </w:r>
          </w:hyperlink>
        </w:p>
        <w:p w14:paraId="3E8A9476" w14:textId="019E8974" w:rsidR="00710860" w:rsidRDefault="00060340">
          <w:pPr>
            <w:pStyle w:val="TM2"/>
            <w:tabs>
              <w:tab w:val="left" w:pos="880"/>
              <w:tab w:val="right" w:leader="dot" w:pos="9062"/>
            </w:tabs>
            <w:rPr>
              <w:rFonts w:eastAsiaTheme="minorEastAsia"/>
              <w:noProof/>
              <w:lang w:eastAsia="fr-FR"/>
            </w:rPr>
          </w:pPr>
          <w:hyperlink w:anchor="_Toc75162470" w:history="1">
            <w:r w:rsidR="00710860" w:rsidRPr="00BC5E71">
              <w:rPr>
                <w:rStyle w:val="Lienhypertexte"/>
                <w:i/>
                <w:iCs/>
                <w:noProof/>
              </w:rPr>
              <w:t>5.2.</w:t>
            </w:r>
            <w:r w:rsidR="00710860">
              <w:rPr>
                <w:rFonts w:eastAsiaTheme="minorEastAsia"/>
                <w:noProof/>
                <w:lang w:eastAsia="fr-FR"/>
              </w:rPr>
              <w:tab/>
            </w:r>
            <w:r w:rsidR="00710860" w:rsidRPr="00BC5E71">
              <w:rPr>
                <w:rStyle w:val="Lienhypertexte"/>
                <w:i/>
                <w:iCs/>
                <w:noProof/>
              </w:rPr>
              <w:t>Vérification au niveau régional</w:t>
            </w:r>
            <w:r w:rsidR="00710860">
              <w:rPr>
                <w:noProof/>
                <w:webHidden/>
              </w:rPr>
              <w:tab/>
            </w:r>
            <w:r w:rsidR="00710860">
              <w:rPr>
                <w:noProof/>
                <w:webHidden/>
              </w:rPr>
              <w:fldChar w:fldCharType="begin"/>
            </w:r>
            <w:r w:rsidR="00710860">
              <w:rPr>
                <w:noProof/>
                <w:webHidden/>
              </w:rPr>
              <w:instrText xml:space="preserve"> PAGEREF _Toc75162470 \h </w:instrText>
            </w:r>
            <w:r w:rsidR="00710860">
              <w:rPr>
                <w:noProof/>
                <w:webHidden/>
              </w:rPr>
            </w:r>
            <w:r w:rsidR="00710860">
              <w:rPr>
                <w:noProof/>
                <w:webHidden/>
              </w:rPr>
              <w:fldChar w:fldCharType="separate"/>
            </w:r>
            <w:r w:rsidR="00710860">
              <w:rPr>
                <w:noProof/>
                <w:webHidden/>
              </w:rPr>
              <w:t>32</w:t>
            </w:r>
            <w:r w:rsidR="00710860">
              <w:rPr>
                <w:noProof/>
                <w:webHidden/>
              </w:rPr>
              <w:fldChar w:fldCharType="end"/>
            </w:r>
          </w:hyperlink>
        </w:p>
        <w:p w14:paraId="656E564C" w14:textId="5366B578" w:rsidR="00710860" w:rsidRDefault="00060340">
          <w:pPr>
            <w:pStyle w:val="TM2"/>
            <w:tabs>
              <w:tab w:val="left" w:pos="880"/>
              <w:tab w:val="right" w:leader="dot" w:pos="9062"/>
            </w:tabs>
            <w:rPr>
              <w:rFonts w:eastAsiaTheme="minorEastAsia"/>
              <w:noProof/>
              <w:lang w:eastAsia="fr-FR"/>
            </w:rPr>
          </w:pPr>
          <w:hyperlink w:anchor="_Toc75162471" w:history="1">
            <w:r w:rsidR="00710860" w:rsidRPr="00BC5E71">
              <w:rPr>
                <w:rStyle w:val="Lienhypertexte"/>
                <w:i/>
                <w:iCs/>
                <w:noProof/>
              </w:rPr>
              <w:t>5.3.</w:t>
            </w:r>
            <w:r w:rsidR="00710860">
              <w:rPr>
                <w:rFonts w:eastAsiaTheme="minorEastAsia"/>
                <w:noProof/>
                <w:lang w:eastAsia="fr-FR"/>
              </w:rPr>
              <w:tab/>
            </w:r>
            <w:r w:rsidR="00710860" w:rsidRPr="00BC5E71">
              <w:rPr>
                <w:rStyle w:val="Lienhypertexte"/>
                <w:i/>
                <w:iCs/>
                <w:noProof/>
              </w:rPr>
              <w:t>Vérification au niveau national et publication des résultats</w:t>
            </w:r>
            <w:r w:rsidR="00710860">
              <w:rPr>
                <w:noProof/>
                <w:webHidden/>
              </w:rPr>
              <w:tab/>
            </w:r>
            <w:r w:rsidR="00710860">
              <w:rPr>
                <w:noProof/>
                <w:webHidden/>
              </w:rPr>
              <w:fldChar w:fldCharType="begin"/>
            </w:r>
            <w:r w:rsidR="00710860">
              <w:rPr>
                <w:noProof/>
                <w:webHidden/>
              </w:rPr>
              <w:instrText xml:space="preserve"> PAGEREF _Toc75162471 \h </w:instrText>
            </w:r>
            <w:r w:rsidR="00710860">
              <w:rPr>
                <w:noProof/>
                <w:webHidden/>
              </w:rPr>
            </w:r>
            <w:r w:rsidR="00710860">
              <w:rPr>
                <w:noProof/>
                <w:webHidden/>
              </w:rPr>
              <w:fldChar w:fldCharType="separate"/>
            </w:r>
            <w:r w:rsidR="00710860">
              <w:rPr>
                <w:noProof/>
                <w:webHidden/>
              </w:rPr>
              <w:t>32</w:t>
            </w:r>
            <w:r w:rsidR="00710860">
              <w:rPr>
                <w:noProof/>
                <w:webHidden/>
              </w:rPr>
              <w:fldChar w:fldCharType="end"/>
            </w:r>
          </w:hyperlink>
        </w:p>
        <w:p w14:paraId="54F17CDF" w14:textId="7DA18083" w:rsidR="00710860" w:rsidRDefault="00060340">
          <w:pPr>
            <w:pStyle w:val="TM1"/>
            <w:tabs>
              <w:tab w:val="right" w:leader="dot" w:pos="9062"/>
            </w:tabs>
            <w:rPr>
              <w:rFonts w:eastAsiaTheme="minorEastAsia"/>
              <w:noProof/>
              <w:lang w:eastAsia="fr-FR"/>
            </w:rPr>
          </w:pPr>
          <w:hyperlink w:anchor="_Toc75162472" w:history="1">
            <w:r w:rsidR="00710860" w:rsidRPr="00BC5E71">
              <w:rPr>
                <w:rStyle w:val="Lienhypertexte"/>
                <w:noProof/>
              </w:rPr>
              <w:t>ANNEXES</w:t>
            </w:r>
            <w:r w:rsidR="00710860">
              <w:rPr>
                <w:noProof/>
                <w:webHidden/>
              </w:rPr>
              <w:tab/>
            </w:r>
            <w:r w:rsidR="00710860">
              <w:rPr>
                <w:noProof/>
                <w:webHidden/>
              </w:rPr>
              <w:fldChar w:fldCharType="begin"/>
            </w:r>
            <w:r w:rsidR="00710860">
              <w:rPr>
                <w:noProof/>
                <w:webHidden/>
              </w:rPr>
              <w:instrText xml:space="preserve"> PAGEREF _Toc75162472 \h </w:instrText>
            </w:r>
            <w:r w:rsidR="00710860">
              <w:rPr>
                <w:noProof/>
                <w:webHidden/>
              </w:rPr>
            </w:r>
            <w:r w:rsidR="00710860">
              <w:rPr>
                <w:noProof/>
                <w:webHidden/>
              </w:rPr>
              <w:fldChar w:fldCharType="separate"/>
            </w:r>
            <w:r w:rsidR="00710860">
              <w:rPr>
                <w:noProof/>
                <w:webHidden/>
              </w:rPr>
              <w:t>I</w:t>
            </w:r>
            <w:r w:rsidR="00710860">
              <w:rPr>
                <w:noProof/>
                <w:webHidden/>
              </w:rPr>
              <w:fldChar w:fldCharType="end"/>
            </w:r>
          </w:hyperlink>
        </w:p>
        <w:p w14:paraId="39965FA2" w14:textId="4F5059FE" w:rsidR="00072F7B" w:rsidRDefault="00072F7B" w:rsidP="00863AD4">
          <w:pPr>
            <w:spacing w:line="360" w:lineRule="auto"/>
            <w:rPr>
              <w:b/>
              <w:bCs/>
            </w:rPr>
          </w:pPr>
          <w:r>
            <w:rPr>
              <w:b/>
              <w:bCs/>
            </w:rPr>
            <w:fldChar w:fldCharType="end"/>
          </w:r>
        </w:p>
      </w:sdtContent>
    </w:sdt>
    <w:p w14:paraId="28286C90" w14:textId="77777777" w:rsidR="00072F7B" w:rsidRDefault="00072F7B" w:rsidP="00863AD4">
      <w:pPr>
        <w:spacing w:line="360" w:lineRule="auto"/>
      </w:pPr>
    </w:p>
    <w:p w14:paraId="680FAD93" w14:textId="77777777" w:rsidR="00A92FDE" w:rsidRDefault="00A92FDE" w:rsidP="00863AD4">
      <w:pPr>
        <w:spacing w:line="360" w:lineRule="auto"/>
        <w:sectPr w:rsidR="00A92FDE" w:rsidSect="009E0008">
          <w:footerReference w:type="default" r:id="rId11"/>
          <w:pgSz w:w="11906" w:h="16838"/>
          <w:pgMar w:top="1417" w:right="1417" w:bottom="1417" w:left="1417" w:header="708" w:footer="708" w:gutter="0"/>
          <w:pgNumType w:fmt="lowerRoman"/>
          <w:cols w:space="708"/>
          <w:docGrid w:linePitch="360"/>
        </w:sectPr>
      </w:pPr>
    </w:p>
    <w:p w14:paraId="73ABA90A" w14:textId="77777777" w:rsidR="00A92FDE" w:rsidRDefault="00A92FDE" w:rsidP="00863AD4">
      <w:pPr>
        <w:pStyle w:val="Titre1"/>
        <w:spacing w:line="360" w:lineRule="auto"/>
      </w:pPr>
      <w:bookmarkStart w:id="0" w:name="_Toc75162442"/>
      <w:r>
        <w:lastRenderedPageBreak/>
        <w:t>Préambule</w:t>
      </w:r>
      <w:bookmarkEnd w:id="0"/>
    </w:p>
    <w:p w14:paraId="1B80D5B4" w14:textId="77777777" w:rsidR="00A92FDE" w:rsidRDefault="00A92FDE" w:rsidP="00863AD4">
      <w:pPr>
        <w:spacing w:line="360" w:lineRule="auto"/>
        <w:jc w:val="both"/>
      </w:pPr>
      <w:r>
        <w:t xml:space="preserve">Ce document a pour but de montrer les procédures techniques afin de comprendre le rôle de chaque acteur dans la mise en place et le fonctionnement du </w:t>
      </w:r>
      <w:r w:rsidRPr="00C40AC4">
        <w:t xml:space="preserve">système de suivi de la filière </w:t>
      </w:r>
      <w:r>
        <w:t>bois énergie</w:t>
      </w:r>
      <w:r w:rsidRPr="00C40AC4">
        <w:t xml:space="preserve"> et de </w:t>
      </w:r>
      <w:r w:rsidRPr="00C76BB3">
        <w:t>l’adoption d’alternatives de cuisson à Madagascar. Ceci permettra de disposer de données de référence pour le développement de programmes et de projets bois énergie compatibles avec la politique nationale.</w:t>
      </w:r>
    </w:p>
    <w:p w14:paraId="3893119D" w14:textId="226E148B" w:rsidR="00A92FDE" w:rsidRDefault="00A92FDE" w:rsidP="00863AD4">
      <w:pPr>
        <w:spacing w:line="360" w:lineRule="auto"/>
        <w:jc w:val="both"/>
      </w:pPr>
      <w:r w:rsidRPr="008D3988">
        <w:t xml:space="preserve">Le </w:t>
      </w:r>
      <w:r w:rsidR="00D45691">
        <w:t xml:space="preserve">SSBEAC </w:t>
      </w:r>
      <w:r>
        <w:t xml:space="preserve">permettra de suivre toute la filière bois énergie, en partant des reboisements et des forêts naturelles à vocation énergétique jusqu’aux impacts de la filière, en passant par la consommation du bois énergie et les modes de cuisson. Il répondra aux attentes des parties prenantes et appuiera la prise de décision à tous les niveaux. </w:t>
      </w:r>
    </w:p>
    <w:p w14:paraId="7D1788DA" w14:textId="7416EA51" w:rsidR="00A92FDE" w:rsidRDefault="00A92FDE" w:rsidP="00863AD4">
      <w:pPr>
        <w:spacing w:line="360" w:lineRule="auto"/>
        <w:jc w:val="both"/>
      </w:pPr>
      <w:r w:rsidRPr="008D3988">
        <w:t xml:space="preserve">Dans son contenu, le </w:t>
      </w:r>
      <w:r w:rsidR="00D45691">
        <w:t xml:space="preserve">SSBEAC </w:t>
      </w:r>
      <w:r w:rsidRPr="008D3988">
        <w:t xml:space="preserve">doit être alimenté en données issues </w:t>
      </w:r>
      <w:r>
        <w:t xml:space="preserve">de documentations, </w:t>
      </w:r>
      <w:r w:rsidRPr="008D3988">
        <w:t xml:space="preserve">d’observations et d’enquêtes terrain. </w:t>
      </w:r>
      <w:r>
        <w:t>Le descriptif de chaque procédure permettra de générer des informations fiables, probantes et disponibles assurant la marche du système, et également de prendre des décisions pertinentes.</w:t>
      </w:r>
    </w:p>
    <w:p w14:paraId="0AEA04B7" w14:textId="2E280CC1" w:rsidR="00A92FDE" w:rsidRPr="008D3988" w:rsidRDefault="00A92FDE" w:rsidP="00863AD4">
      <w:pPr>
        <w:spacing w:line="360" w:lineRule="auto"/>
        <w:jc w:val="both"/>
      </w:pPr>
      <w:r w:rsidRPr="008D3988">
        <w:t>Dans sa structure l</w:t>
      </w:r>
      <w:r>
        <w:t>e</w:t>
      </w:r>
      <w:r w:rsidRPr="008D3988">
        <w:t xml:space="preserve"> </w:t>
      </w:r>
      <w:r w:rsidR="00D45691">
        <w:t xml:space="preserve">SSBEAC </w:t>
      </w:r>
      <w:r w:rsidRPr="008D3988">
        <w:t>est jugé suffisant et adapté pour effectuer le suivi de l’offre et de la demande en bois énergie</w:t>
      </w:r>
      <w:r>
        <w:t xml:space="preserve"> et en alternatives de cuisson</w:t>
      </w:r>
      <w:r w:rsidRPr="008D3988">
        <w:t>. Dans cet outil, le suivi peut être assuré par son utilisation qui est relativement simple si l’utilisateur respecte le protocole d</w:t>
      </w:r>
      <w:r>
        <w:t>’emploi</w:t>
      </w:r>
      <w:r w:rsidRPr="008D3988">
        <w:t>.</w:t>
      </w:r>
    </w:p>
    <w:p w14:paraId="4EC39B26" w14:textId="77777777" w:rsidR="00A92FDE" w:rsidRDefault="00A92FDE" w:rsidP="00863AD4">
      <w:pPr>
        <w:spacing w:line="360" w:lineRule="auto"/>
        <w:jc w:val="both"/>
      </w:pPr>
      <w:r>
        <w:t>P</w:t>
      </w:r>
      <w:r w:rsidRPr="000A77A3">
        <w:t>ar ailleurs</w:t>
      </w:r>
      <w:r>
        <w:t xml:space="preserve">, ces procédures peuvent évoluer en cas de besoin. </w:t>
      </w:r>
      <w:r w:rsidRPr="00C32F6D">
        <w:t xml:space="preserve">En bref, </w:t>
      </w:r>
      <w:r>
        <w:t>ce manuel ne pourra survivre et n’aura de valeur que par :</w:t>
      </w:r>
    </w:p>
    <w:p w14:paraId="4123E343" w14:textId="77777777" w:rsidR="00A92FDE" w:rsidRDefault="00A92FDE" w:rsidP="00863AD4">
      <w:pPr>
        <w:pStyle w:val="Paragraphedeliste"/>
        <w:numPr>
          <w:ilvl w:val="0"/>
          <w:numId w:val="2"/>
        </w:numPr>
        <w:spacing w:line="360" w:lineRule="auto"/>
        <w:jc w:val="both"/>
      </w:pPr>
      <w:r>
        <w:t>Sa diffusion auprès des utilisateurs ;</w:t>
      </w:r>
    </w:p>
    <w:p w14:paraId="18D24EBE" w14:textId="77777777" w:rsidR="00A92FDE" w:rsidRDefault="00A92FDE" w:rsidP="00863AD4">
      <w:pPr>
        <w:pStyle w:val="Paragraphedeliste"/>
        <w:numPr>
          <w:ilvl w:val="0"/>
          <w:numId w:val="2"/>
        </w:numPr>
        <w:spacing w:line="360" w:lineRule="auto"/>
        <w:jc w:val="both"/>
      </w:pPr>
      <w:r>
        <w:t>L’application stricte de son contenu ;</w:t>
      </w:r>
    </w:p>
    <w:p w14:paraId="57239ADA" w14:textId="77777777" w:rsidR="00A92FDE" w:rsidRDefault="00A92FDE" w:rsidP="00863AD4">
      <w:pPr>
        <w:pStyle w:val="Paragraphedeliste"/>
        <w:numPr>
          <w:ilvl w:val="0"/>
          <w:numId w:val="2"/>
        </w:numPr>
        <w:spacing w:line="360" w:lineRule="auto"/>
        <w:jc w:val="both"/>
      </w:pPr>
      <w:r>
        <w:t>La mise en place d’un dispositif de mise à jour si nécessaire ;</w:t>
      </w:r>
    </w:p>
    <w:p w14:paraId="0BF87025" w14:textId="6E07C69E" w:rsidR="00A92FDE" w:rsidRDefault="00A92FDE" w:rsidP="00863AD4">
      <w:pPr>
        <w:pStyle w:val="Paragraphedeliste"/>
        <w:numPr>
          <w:ilvl w:val="0"/>
          <w:numId w:val="2"/>
        </w:numPr>
        <w:spacing w:line="360" w:lineRule="auto"/>
        <w:jc w:val="both"/>
      </w:pPr>
      <w:r w:rsidRPr="00C32F6D">
        <w:t>L’utilisation et valorisation de ces résultats et analyses.</w:t>
      </w:r>
    </w:p>
    <w:p w14:paraId="3B5B7E01" w14:textId="77777777" w:rsidR="00A92FDE" w:rsidRDefault="00A92FDE" w:rsidP="00863AD4">
      <w:pPr>
        <w:spacing w:line="360" w:lineRule="auto"/>
      </w:pPr>
      <w:r>
        <w:br w:type="page"/>
      </w:r>
    </w:p>
    <w:p w14:paraId="2F9E260A" w14:textId="7C4C8AFE" w:rsidR="001628A3" w:rsidRDefault="00996515" w:rsidP="00863AD4">
      <w:pPr>
        <w:pStyle w:val="Titre1"/>
        <w:spacing w:line="360" w:lineRule="auto"/>
      </w:pPr>
      <w:bookmarkStart w:id="1" w:name="_Toc75162443"/>
      <w:r>
        <w:lastRenderedPageBreak/>
        <w:t>Liste des abréviations</w:t>
      </w:r>
      <w:bookmarkEnd w:id="1"/>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7934"/>
      </w:tblGrid>
      <w:tr w:rsidR="001628A3" w14:paraId="44B5F5A0" w14:textId="77777777" w:rsidTr="00E1288F">
        <w:tc>
          <w:tcPr>
            <w:tcW w:w="627" w:type="pct"/>
          </w:tcPr>
          <w:p w14:paraId="05F0FC95" w14:textId="1236F51D" w:rsidR="001628A3" w:rsidRDefault="001628A3" w:rsidP="00863AD4">
            <w:pPr>
              <w:spacing w:line="360" w:lineRule="auto"/>
            </w:pPr>
            <w:r>
              <w:t>AAM</w:t>
            </w:r>
          </w:p>
        </w:tc>
        <w:tc>
          <w:tcPr>
            <w:tcW w:w="4373" w:type="pct"/>
          </w:tcPr>
          <w:p w14:paraId="0916A49E" w14:textId="420D91FB" w:rsidR="001628A3" w:rsidRDefault="001628A3" w:rsidP="00863AD4">
            <w:pPr>
              <w:spacing w:line="360" w:lineRule="auto"/>
            </w:pPr>
            <w:r>
              <w:t>Accroissement Annuel Moyen</w:t>
            </w:r>
          </w:p>
        </w:tc>
      </w:tr>
      <w:tr w:rsidR="0069279D" w14:paraId="55DDEBCC" w14:textId="77777777" w:rsidTr="00E1288F">
        <w:tc>
          <w:tcPr>
            <w:tcW w:w="627" w:type="pct"/>
          </w:tcPr>
          <w:p w14:paraId="79127B43" w14:textId="64263209" w:rsidR="0069279D" w:rsidRDefault="0069279D" w:rsidP="00863AD4">
            <w:pPr>
              <w:spacing w:line="360" w:lineRule="auto"/>
            </w:pPr>
            <w:r>
              <w:t>GMDR</w:t>
            </w:r>
          </w:p>
        </w:tc>
        <w:tc>
          <w:tcPr>
            <w:tcW w:w="4373" w:type="pct"/>
          </w:tcPr>
          <w:p w14:paraId="550FAFF3" w14:textId="287D36EC" w:rsidR="0069279D" w:rsidRDefault="0069279D" w:rsidP="00863AD4">
            <w:pPr>
              <w:spacing w:line="360" w:lineRule="auto"/>
            </w:pPr>
            <w:r>
              <w:t xml:space="preserve">Green Mad </w:t>
            </w:r>
            <w:proofErr w:type="spellStart"/>
            <w:r>
              <w:t>Dome</w:t>
            </w:r>
            <w:proofErr w:type="spellEnd"/>
            <w:r>
              <w:t xml:space="preserve"> </w:t>
            </w:r>
            <w:proofErr w:type="spellStart"/>
            <w:r>
              <w:t>Retort</w:t>
            </w:r>
            <w:proofErr w:type="spellEnd"/>
          </w:p>
        </w:tc>
      </w:tr>
      <w:tr w:rsidR="0069701B" w14:paraId="444B760A" w14:textId="77777777" w:rsidTr="00E1288F">
        <w:tc>
          <w:tcPr>
            <w:tcW w:w="627" w:type="pct"/>
          </w:tcPr>
          <w:p w14:paraId="1F231929" w14:textId="65EC2D7B" w:rsidR="0069701B" w:rsidRDefault="0069701B" w:rsidP="00863AD4">
            <w:pPr>
              <w:spacing w:line="360" w:lineRule="auto"/>
            </w:pPr>
            <w:r>
              <w:t>GPS</w:t>
            </w:r>
          </w:p>
        </w:tc>
        <w:tc>
          <w:tcPr>
            <w:tcW w:w="4373" w:type="pct"/>
          </w:tcPr>
          <w:p w14:paraId="208909D8" w14:textId="3099C39E" w:rsidR="0069701B" w:rsidRDefault="0069701B" w:rsidP="00863AD4">
            <w:pPr>
              <w:spacing w:line="360" w:lineRule="auto"/>
            </w:pPr>
            <w:r w:rsidRPr="00567A0C">
              <w:t xml:space="preserve">Global </w:t>
            </w:r>
            <w:proofErr w:type="spellStart"/>
            <w:r w:rsidRPr="00567A0C">
              <w:t>Positioning</w:t>
            </w:r>
            <w:proofErr w:type="spellEnd"/>
            <w:r w:rsidRPr="00567A0C">
              <w:t xml:space="preserve"> System</w:t>
            </w:r>
          </w:p>
        </w:tc>
      </w:tr>
      <w:tr w:rsidR="0069701B" w14:paraId="533A8116" w14:textId="77777777" w:rsidTr="00E1288F">
        <w:tc>
          <w:tcPr>
            <w:tcW w:w="627" w:type="pct"/>
          </w:tcPr>
          <w:p w14:paraId="61BF0279" w14:textId="2B09D07E" w:rsidR="0069701B" w:rsidRDefault="0069701B" w:rsidP="00863AD4">
            <w:pPr>
              <w:spacing w:line="360" w:lineRule="auto"/>
            </w:pPr>
            <w:r>
              <w:t>GPX</w:t>
            </w:r>
          </w:p>
        </w:tc>
        <w:tc>
          <w:tcPr>
            <w:tcW w:w="4373" w:type="pct"/>
          </w:tcPr>
          <w:p w14:paraId="77CECA79" w14:textId="4DA4D7B6" w:rsidR="0069701B" w:rsidRDefault="0069701B" w:rsidP="00863AD4">
            <w:pPr>
              <w:spacing w:line="360" w:lineRule="auto"/>
            </w:pPr>
            <w:r w:rsidRPr="00567A0C">
              <w:t xml:space="preserve">GPS </w:t>
            </w:r>
            <w:proofErr w:type="spellStart"/>
            <w:r w:rsidRPr="00567A0C">
              <w:t>eXchange</w:t>
            </w:r>
            <w:proofErr w:type="spellEnd"/>
            <w:r w:rsidRPr="00567A0C">
              <w:t xml:space="preserve"> Format</w:t>
            </w:r>
          </w:p>
        </w:tc>
      </w:tr>
      <w:tr w:rsidR="00C44AF9" w14:paraId="360F2792" w14:textId="77777777" w:rsidTr="00E1288F">
        <w:tc>
          <w:tcPr>
            <w:tcW w:w="627" w:type="pct"/>
            <w:hideMark/>
          </w:tcPr>
          <w:p w14:paraId="357F6B15" w14:textId="753ABFC9" w:rsidR="00C44AF9" w:rsidRDefault="00C44AF9" w:rsidP="00863AD4">
            <w:pPr>
              <w:spacing w:line="360" w:lineRule="auto"/>
            </w:pPr>
            <w:r>
              <w:t>kJ</w:t>
            </w:r>
          </w:p>
        </w:tc>
        <w:tc>
          <w:tcPr>
            <w:tcW w:w="4373" w:type="pct"/>
            <w:hideMark/>
          </w:tcPr>
          <w:p w14:paraId="743BD2B4" w14:textId="77777777" w:rsidR="00C44AF9" w:rsidRDefault="00C44AF9" w:rsidP="00863AD4">
            <w:pPr>
              <w:spacing w:line="360" w:lineRule="auto"/>
            </w:pPr>
            <w:r>
              <w:t>Kilojoule</w:t>
            </w:r>
          </w:p>
        </w:tc>
      </w:tr>
      <w:tr w:rsidR="00C44AF9" w14:paraId="44598BA0" w14:textId="77777777" w:rsidTr="00E1288F">
        <w:tc>
          <w:tcPr>
            <w:tcW w:w="627" w:type="pct"/>
            <w:hideMark/>
          </w:tcPr>
          <w:p w14:paraId="7E6DE054" w14:textId="4A7CC20A" w:rsidR="00C44AF9" w:rsidRDefault="00C44AF9" w:rsidP="00863AD4">
            <w:pPr>
              <w:spacing w:line="360" w:lineRule="auto"/>
            </w:pPr>
            <w:r>
              <w:t>kWh</w:t>
            </w:r>
          </w:p>
        </w:tc>
        <w:tc>
          <w:tcPr>
            <w:tcW w:w="4373" w:type="pct"/>
            <w:hideMark/>
          </w:tcPr>
          <w:p w14:paraId="584403FB" w14:textId="77777777" w:rsidR="00C44AF9" w:rsidRDefault="00C44AF9" w:rsidP="00863AD4">
            <w:pPr>
              <w:spacing w:line="360" w:lineRule="auto"/>
            </w:pPr>
            <w:r>
              <w:t>Kilo Watt heure</w:t>
            </w:r>
          </w:p>
        </w:tc>
      </w:tr>
      <w:tr w:rsidR="0069279D" w14:paraId="52B43E8B" w14:textId="77777777" w:rsidTr="00E1288F">
        <w:tc>
          <w:tcPr>
            <w:tcW w:w="627" w:type="pct"/>
          </w:tcPr>
          <w:p w14:paraId="010C869A" w14:textId="0C525D5F" w:rsidR="0069279D" w:rsidRDefault="0069279D" w:rsidP="00863AD4">
            <w:pPr>
              <w:spacing w:line="360" w:lineRule="auto"/>
            </w:pPr>
            <w:r>
              <w:t>MATI</w:t>
            </w:r>
          </w:p>
        </w:tc>
        <w:tc>
          <w:tcPr>
            <w:tcW w:w="4373" w:type="pct"/>
          </w:tcPr>
          <w:p w14:paraId="5894775E" w14:textId="367FA6CF" w:rsidR="0069279D" w:rsidRPr="00567A0C" w:rsidRDefault="0069279D" w:rsidP="00863AD4">
            <w:pPr>
              <w:spacing w:line="360" w:lineRule="auto"/>
            </w:pPr>
            <w:r w:rsidRPr="0069279D">
              <w:t>Meule Améliorée à Tirage Inversé</w:t>
            </w:r>
          </w:p>
        </w:tc>
      </w:tr>
      <w:tr w:rsidR="00C76BB3" w14:paraId="12B7886E" w14:textId="77777777" w:rsidTr="00E1288F">
        <w:tc>
          <w:tcPr>
            <w:tcW w:w="627" w:type="pct"/>
          </w:tcPr>
          <w:p w14:paraId="0A00DACE" w14:textId="2284C12F" w:rsidR="00C76BB3" w:rsidRDefault="00C76BB3" w:rsidP="00863AD4">
            <w:pPr>
              <w:spacing w:line="360" w:lineRule="auto"/>
            </w:pPr>
            <w:proofErr w:type="spellStart"/>
            <w:r w:rsidRPr="00C76BB3">
              <w:t>SS</w:t>
            </w:r>
            <w:r w:rsidR="00CA2AC7">
              <w:t>bois</w:t>
            </w:r>
            <w:proofErr w:type="spellEnd"/>
            <w:r w:rsidR="00CA2AC7">
              <w:t xml:space="preserve"> </w:t>
            </w:r>
            <w:proofErr w:type="spellStart"/>
            <w:r w:rsidR="00CA2AC7">
              <w:t>énergie</w:t>
            </w:r>
            <w:r w:rsidRPr="00C76BB3">
              <w:t>AC</w:t>
            </w:r>
            <w:proofErr w:type="spellEnd"/>
          </w:p>
        </w:tc>
        <w:tc>
          <w:tcPr>
            <w:tcW w:w="4373" w:type="pct"/>
          </w:tcPr>
          <w:p w14:paraId="5DD6C103" w14:textId="5FEEF3E2" w:rsidR="00C76BB3" w:rsidRPr="0069279D" w:rsidRDefault="00C76BB3" w:rsidP="00863AD4">
            <w:pPr>
              <w:spacing w:line="360" w:lineRule="auto"/>
            </w:pPr>
            <w:r>
              <w:t>S</w:t>
            </w:r>
            <w:r w:rsidRPr="00C76BB3">
              <w:t xml:space="preserve">ystème de </w:t>
            </w:r>
            <w:r>
              <w:t>S</w:t>
            </w:r>
            <w:r w:rsidRPr="00C76BB3">
              <w:t>uivi de la filière Bois Énergie et de l’</w:t>
            </w:r>
            <w:r>
              <w:t>a</w:t>
            </w:r>
            <w:r w:rsidRPr="00C76BB3">
              <w:t>doption d’</w:t>
            </w:r>
            <w:r>
              <w:t>A</w:t>
            </w:r>
            <w:r w:rsidRPr="00C76BB3">
              <w:t xml:space="preserve">lternatives de </w:t>
            </w:r>
            <w:r>
              <w:t>C</w:t>
            </w:r>
            <w:r w:rsidRPr="00C76BB3">
              <w:t>uisson à Madagascar</w:t>
            </w:r>
          </w:p>
        </w:tc>
      </w:tr>
      <w:tr w:rsidR="001628A3" w14:paraId="4AA52601" w14:textId="77777777" w:rsidTr="00E1288F">
        <w:tc>
          <w:tcPr>
            <w:tcW w:w="627" w:type="pct"/>
          </w:tcPr>
          <w:p w14:paraId="139CC5C2" w14:textId="447C95D9" w:rsidR="001628A3" w:rsidRDefault="0069701B" w:rsidP="00863AD4">
            <w:pPr>
              <w:spacing w:line="360" w:lineRule="auto"/>
            </w:pPr>
            <w:r>
              <w:t>TG</w:t>
            </w:r>
          </w:p>
        </w:tc>
        <w:tc>
          <w:tcPr>
            <w:tcW w:w="4373" w:type="pct"/>
          </w:tcPr>
          <w:p w14:paraId="005B53A9" w14:textId="600DD744" w:rsidR="001628A3" w:rsidRDefault="0069701B" w:rsidP="00863AD4">
            <w:pPr>
              <w:spacing w:line="360" w:lineRule="auto"/>
            </w:pPr>
            <w:r>
              <w:t>Transfert de Gestion</w:t>
            </w:r>
          </w:p>
        </w:tc>
      </w:tr>
      <w:tr w:rsidR="001628A3" w14:paraId="41E55AD6" w14:textId="77777777" w:rsidTr="00E1288F">
        <w:tc>
          <w:tcPr>
            <w:tcW w:w="627" w:type="pct"/>
          </w:tcPr>
          <w:p w14:paraId="3CAFC344" w14:textId="41B9763C" w:rsidR="001628A3" w:rsidRDefault="0069279D" w:rsidP="00863AD4">
            <w:pPr>
              <w:spacing w:line="360" w:lineRule="auto"/>
            </w:pPr>
            <w:r>
              <w:t>VMTP</w:t>
            </w:r>
          </w:p>
        </w:tc>
        <w:tc>
          <w:tcPr>
            <w:tcW w:w="4373" w:type="pct"/>
          </w:tcPr>
          <w:p w14:paraId="3DE2D3D5" w14:textId="259FE4B1" w:rsidR="001628A3" w:rsidRDefault="0069279D" w:rsidP="00863AD4">
            <w:pPr>
              <w:spacing w:line="360" w:lineRule="auto"/>
            </w:pPr>
            <w:proofErr w:type="spellStart"/>
            <w:r>
              <w:t>Voay</w:t>
            </w:r>
            <w:proofErr w:type="spellEnd"/>
            <w:r>
              <w:t xml:space="preserve"> </w:t>
            </w:r>
            <w:proofErr w:type="spellStart"/>
            <w:r>
              <w:t>MiTaPy</w:t>
            </w:r>
            <w:proofErr w:type="spellEnd"/>
          </w:p>
        </w:tc>
      </w:tr>
    </w:tbl>
    <w:p w14:paraId="5EA265A6" w14:textId="77777777" w:rsidR="005428FD" w:rsidRDefault="005428FD" w:rsidP="00863AD4">
      <w:pPr>
        <w:spacing w:line="360" w:lineRule="auto"/>
      </w:pPr>
    </w:p>
    <w:p w14:paraId="2112FDFC" w14:textId="77777777" w:rsidR="005428FD" w:rsidRDefault="005428FD" w:rsidP="00863AD4">
      <w:pPr>
        <w:spacing w:line="360" w:lineRule="auto"/>
      </w:pPr>
      <w:r>
        <w:br w:type="page"/>
      </w:r>
    </w:p>
    <w:p w14:paraId="168B7A7D" w14:textId="77777777" w:rsidR="005428FD" w:rsidRDefault="005428FD" w:rsidP="00863AD4">
      <w:pPr>
        <w:pStyle w:val="Titre1"/>
        <w:spacing w:line="360" w:lineRule="auto"/>
      </w:pPr>
      <w:bookmarkStart w:id="2" w:name="_Toc75162444"/>
      <w:r>
        <w:lastRenderedPageBreak/>
        <w:t>Glossaire</w:t>
      </w:r>
      <w:bookmarkEnd w:id="2"/>
    </w:p>
    <w:tbl>
      <w:tblPr>
        <w:tblStyle w:val="Grilledutableau1"/>
        <w:tblpPr w:leftFromText="180" w:rightFromText="180" w:horzAnchor="margin" w:tblpY="7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947C1C" w:rsidRPr="00DB0B2E" w14:paraId="7AD54BCD" w14:textId="77777777" w:rsidTr="00C81E11">
        <w:tc>
          <w:tcPr>
            <w:tcW w:w="2263" w:type="dxa"/>
          </w:tcPr>
          <w:p w14:paraId="232BF134"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Arbres hors forêts</w:t>
            </w:r>
            <w:r w:rsidRPr="00DB0B2E">
              <w:rPr>
                <w:rFonts w:ascii="Calibri" w:eastAsia="Calibri" w:hAnsi="Calibri" w:cs="Times New Roman"/>
                <w:vertAlign w:val="superscript"/>
              </w:rPr>
              <w:footnoteReference w:id="1"/>
            </w:r>
            <w:r w:rsidRPr="00DB0B2E">
              <w:rPr>
                <w:rFonts w:ascii="Calibri" w:eastAsia="Calibri" w:hAnsi="Calibri" w:cs="Times New Roman"/>
              </w:rPr>
              <w:t> </w:t>
            </w:r>
          </w:p>
        </w:tc>
        <w:tc>
          <w:tcPr>
            <w:tcW w:w="6799" w:type="dxa"/>
          </w:tcPr>
          <w:p w14:paraId="5DFAD549" w14:textId="79F9C658"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arbres à vocation bois énergie se trouvant à l’extérieur des forêts naturelles regroupant en général les arbres fruitiers naturels et les vergers</w:t>
            </w:r>
            <w:r w:rsidR="00E1288F" w:rsidRPr="00DB0B2E">
              <w:rPr>
                <w:rFonts w:ascii="Calibri" w:eastAsia="Calibri" w:hAnsi="Calibri" w:cs="Times New Roman"/>
              </w:rPr>
              <w:t>.</w:t>
            </w:r>
          </w:p>
        </w:tc>
      </w:tr>
      <w:tr w:rsidR="00947C1C" w:rsidRPr="00DB0B2E" w14:paraId="0AA1697A" w14:textId="77777777" w:rsidTr="00C81E11">
        <w:tc>
          <w:tcPr>
            <w:tcW w:w="2263" w:type="dxa"/>
          </w:tcPr>
          <w:p w14:paraId="63C9E218"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Artisanal</w:t>
            </w:r>
          </w:p>
        </w:tc>
        <w:tc>
          <w:tcPr>
            <w:tcW w:w="6799" w:type="dxa"/>
          </w:tcPr>
          <w:p w14:paraId="67217C10" w14:textId="7E3B10AE"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entité dont l’activité économique se rapporte à l’artisanat</w:t>
            </w:r>
            <w:r w:rsidR="00E1288F" w:rsidRPr="00DB0B2E">
              <w:rPr>
                <w:rFonts w:ascii="Calibri" w:eastAsia="Calibri" w:hAnsi="Calibri" w:cs="Times New Roman"/>
              </w:rPr>
              <w:t>.</w:t>
            </w:r>
          </w:p>
        </w:tc>
      </w:tr>
      <w:tr w:rsidR="00947C1C" w:rsidRPr="00DB0B2E" w14:paraId="71E4F7C4" w14:textId="77777777" w:rsidTr="00C81E11">
        <w:tc>
          <w:tcPr>
            <w:tcW w:w="2263" w:type="dxa"/>
          </w:tcPr>
          <w:p w14:paraId="6D5823DE"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Charbon vert</w:t>
            </w:r>
            <w:r w:rsidRPr="00DB0B2E">
              <w:rPr>
                <w:rFonts w:ascii="Calibri" w:eastAsia="Calibri" w:hAnsi="Calibri" w:cs="Times New Roman"/>
                <w:b/>
                <w:bCs/>
                <w:vertAlign w:val="superscript"/>
              </w:rPr>
              <w:footnoteReference w:id="2"/>
            </w:r>
          </w:p>
        </w:tc>
        <w:tc>
          <w:tcPr>
            <w:tcW w:w="6799" w:type="dxa"/>
          </w:tcPr>
          <w:p w14:paraId="5DB7DEA3" w14:textId="3AFBE703"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appelé aussi « </w:t>
            </w:r>
            <w:proofErr w:type="spellStart"/>
            <w:r w:rsidRPr="00DB0B2E">
              <w:rPr>
                <w:rFonts w:ascii="Calibri" w:eastAsia="Calibri" w:hAnsi="Calibri" w:cs="Times New Roman"/>
                <w:i/>
                <w:iCs/>
              </w:rPr>
              <w:t>biocharbon</w:t>
            </w:r>
            <w:proofErr w:type="spellEnd"/>
            <w:r w:rsidRPr="00DB0B2E">
              <w:rPr>
                <w:rFonts w:ascii="Calibri" w:eastAsia="Calibri" w:hAnsi="Calibri" w:cs="Times New Roman"/>
              </w:rPr>
              <w:t> » matériau poreux et stable, comparable au charbon, obtenu par la combustion du bois et de diverses matières organiques, par pyrolyse.  Il aurait la propriété de résister à la décomposition et donc de capter du carbone tout en libérant dans l'air très peu de gaz à effet de serre. Il peut être utilisé comme carburant ou pour améliorer ou restaurer la qualité des sols cultivables</w:t>
            </w:r>
            <w:r w:rsidR="00E1288F" w:rsidRPr="00DB0B2E">
              <w:rPr>
                <w:rFonts w:ascii="Calibri" w:eastAsia="Calibri" w:hAnsi="Calibri" w:cs="Times New Roman"/>
              </w:rPr>
              <w:t>.</w:t>
            </w:r>
          </w:p>
        </w:tc>
      </w:tr>
      <w:tr w:rsidR="00947C1C" w:rsidRPr="00DB0B2E" w14:paraId="527C10A8" w14:textId="77777777" w:rsidTr="00C81E11">
        <w:tc>
          <w:tcPr>
            <w:tcW w:w="2263" w:type="dxa"/>
          </w:tcPr>
          <w:p w14:paraId="78021143" w14:textId="77777777" w:rsidR="00947C1C" w:rsidRPr="00DB0B2E" w:rsidRDefault="00947C1C" w:rsidP="00863AD4">
            <w:pPr>
              <w:spacing w:line="360" w:lineRule="auto"/>
              <w:rPr>
                <w:rFonts w:ascii="Calibri" w:eastAsia="Calibri" w:hAnsi="Calibri" w:cs="Times New Roman"/>
                <w:b/>
                <w:bCs/>
              </w:rPr>
            </w:pPr>
            <w:r w:rsidRPr="00DB0B2E">
              <w:rPr>
                <w:rFonts w:ascii="Calibri" w:eastAsia="Calibri" w:hAnsi="Calibri" w:cs="Times New Roman"/>
                <w:b/>
                <w:bCs/>
              </w:rPr>
              <w:t>Comma-</w:t>
            </w:r>
            <w:proofErr w:type="spellStart"/>
            <w:r w:rsidRPr="00DB0B2E">
              <w:rPr>
                <w:rFonts w:ascii="Calibri" w:eastAsia="Calibri" w:hAnsi="Calibri" w:cs="Times New Roman"/>
                <w:b/>
                <w:bCs/>
              </w:rPr>
              <w:t>separated</w:t>
            </w:r>
            <w:proofErr w:type="spellEnd"/>
            <w:r w:rsidRPr="00DB0B2E">
              <w:rPr>
                <w:rFonts w:ascii="Calibri" w:eastAsia="Calibri" w:hAnsi="Calibri" w:cs="Times New Roman"/>
                <w:b/>
                <w:bCs/>
              </w:rPr>
              <w:t xml:space="preserve"> values</w:t>
            </w:r>
            <w:r w:rsidRPr="00DB0B2E">
              <w:rPr>
                <w:rFonts w:ascii="Calibri" w:eastAsia="Calibri" w:hAnsi="Calibri" w:cs="Times New Roman"/>
                <w:b/>
                <w:bCs/>
                <w:vertAlign w:val="superscript"/>
              </w:rPr>
              <w:footnoteReference w:id="3"/>
            </w:r>
          </w:p>
        </w:tc>
        <w:tc>
          <w:tcPr>
            <w:tcW w:w="6799" w:type="dxa"/>
          </w:tcPr>
          <w:p w14:paraId="4B0679D0" w14:textId="7874800A"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connu sous le sigle CSV, est un format texte ouvert représentant des données tabulaires sous forme de valeurs séparées par des virgules.</w:t>
            </w:r>
          </w:p>
        </w:tc>
      </w:tr>
      <w:tr w:rsidR="00947C1C" w:rsidRPr="00DB0B2E" w14:paraId="26CC1880" w14:textId="77777777" w:rsidTr="00C81E11">
        <w:tc>
          <w:tcPr>
            <w:tcW w:w="2263" w:type="dxa"/>
          </w:tcPr>
          <w:p w14:paraId="7C97E3AE"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Foyer amélioré</w:t>
            </w:r>
            <w:r w:rsidRPr="00DB0B2E">
              <w:rPr>
                <w:rFonts w:ascii="Calibri" w:eastAsia="Calibri" w:hAnsi="Calibri" w:cs="Times New Roman"/>
                <w:b/>
                <w:bCs/>
                <w:vertAlign w:val="superscript"/>
              </w:rPr>
              <w:footnoteReference w:id="4"/>
            </w:r>
          </w:p>
        </w:tc>
        <w:tc>
          <w:tcPr>
            <w:tcW w:w="6799" w:type="dxa"/>
          </w:tcPr>
          <w:p w14:paraId="1718A058" w14:textId="6CDA250B"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on entend par foyer amélioré tout foyer plus efficient qu’un foyer traditionnel ou 3-pierres. Il permet d’utiliser une quantité moins importante de combustible pour une même activité ou d’émettre moins de Gaz à Effet de Serre ou de fumées nocives</w:t>
            </w:r>
            <w:r w:rsidR="00E1288F" w:rsidRPr="00DB0B2E">
              <w:rPr>
                <w:rFonts w:ascii="Calibri" w:eastAsia="Calibri" w:hAnsi="Calibri" w:cs="Times New Roman"/>
              </w:rPr>
              <w:t>.</w:t>
            </w:r>
          </w:p>
        </w:tc>
      </w:tr>
      <w:tr w:rsidR="00947C1C" w:rsidRPr="00DB0B2E" w14:paraId="00182334" w14:textId="77777777" w:rsidTr="00C81E11">
        <w:tc>
          <w:tcPr>
            <w:tcW w:w="2263" w:type="dxa"/>
          </w:tcPr>
          <w:p w14:paraId="7ED4B9BE"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Gros consommateur</w:t>
            </w:r>
            <w:r w:rsidRPr="00DB0B2E">
              <w:rPr>
                <w:rFonts w:ascii="Calibri" w:eastAsia="Calibri" w:hAnsi="Calibri" w:cs="Times New Roman"/>
              </w:rPr>
              <w:t> </w:t>
            </w:r>
          </w:p>
        </w:tc>
        <w:tc>
          <w:tcPr>
            <w:tcW w:w="6799" w:type="dxa"/>
          </w:tcPr>
          <w:p w14:paraId="489465F4" w14:textId="65F58CCC"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il s’agit des personnes ou des institutions dont l’activité professionnelle consomme plus d’énergie de cuisson qu’un ménage, en raison du nombre élevé des clients qui fréquentent leur établissement ou de leurs activités proprement-dites</w:t>
            </w:r>
            <w:r w:rsidR="00E1288F" w:rsidRPr="00DB0B2E">
              <w:rPr>
                <w:rFonts w:ascii="Calibri" w:eastAsia="Calibri" w:hAnsi="Calibri" w:cs="Times New Roman"/>
              </w:rPr>
              <w:t xml:space="preserve"> </w:t>
            </w:r>
            <w:r w:rsidRPr="00DB0B2E">
              <w:rPr>
                <w:rFonts w:ascii="Calibri" w:eastAsia="Calibri" w:hAnsi="Calibri" w:cs="Times New Roman"/>
              </w:rPr>
              <w:t>(Industriel, Artisanal (fabrication de brique, distillerie, …), Alimentation (restaurant, gargote, boulangerie, …))</w:t>
            </w:r>
            <w:r w:rsidR="00E1288F" w:rsidRPr="00DB0B2E">
              <w:rPr>
                <w:rFonts w:ascii="Calibri" w:eastAsia="Calibri" w:hAnsi="Calibri" w:cs="Times New Roman"/>
              </w:rPr>
              <w:t>.</w:t>
            </w:r>
          </w:p>
        </w:tc>
      </w:tr>
      <w:tr w:rsidR="00947C1C" w:rsidRPr="00DB0B2E" w14:paraId="48B30AA9" w14:textId="77777777" w:rsidTr="00C81E11">
        <w:tc>
          <w:tcPr>
            <w:tcW w:w="2263" w:type="dxa"/>
          </w:tcPr>
          <w:p w14:paraId="390B2209" w14:textId="77777777" w:rsidR="00947C1C" w:rsidRPr="00DB0B2E" w:rsidRDefault="00947C1C" w:rsidP="00863AD4">
            <w:pPr>
              <w:spacing w:line="360" w:lineRule="auto"/>
              <w:rPr>
                <w:rFonts w:ascii="Calibri" w:eastAsia="Calibri" w:hAnsi="Calibri" w:cs="Times New Roman"/>
                <w:b/>
                <w:bCs/>
              </w:rPr>
            </w:pPr>
            <w:r w:rsidRPr="00DB0B2E">
              <w:rPr>
                <w:rFonts w:ascii="Calibri" w:eastAsia="Calibri" w:hAnsi="Calibri" w:cs="Times New Roman"/>
                <w:b/>
                <w:bCs/>
              </w:rPr>
              <w:t>Indicateur principal</w:t>
            </w:r>
          </w:p>
        </w:tc>
        <w:tc>
          <w:tcPr>
            <w:tcW w:w="6799" w:type="dxa"/>
            <w:shd w:val="clear" w:color="auto" w:fill="auto"/>
          </w:tcPr>
          <w:p w14:paraId="6A332F86" w14:textId="3611462D" w:rsidR="00947C1C" w:rsidRPr="00DB0B2E" w:rsidRDefault="00947C1C" w:rsidP="00863AD4">
            <w:pPr>
              <w:spacing w:before="100" w:beforeAutospacing="1" w:line="360" w:lineRule="auto"/>
              <w:jc w:val="both"/>
              <w:rPr>
                <w:rFonts w:ascii="Calibri" w:eastAsia="Calibri" w:hAnsi="Calibri" w:cs="Times New Roman"/>
              </w:rPr>
            </w:pPr>
            <w:r w:rsidRPr="00DB0B2E">
              <w:rPr>
                <w:rFonts w:ascii="Calibri" w:eastAsia="Calibri" w:hAnsi="Calibri" w:cs="Times New Roman"/>
              </w:rPr>
              <w:t>: c’est un indicateur les plus pertinent qui permet d’orienter les actions d’amélioration de l’approvisionnement durable en énergie de cuisson à Madagascar</w:t>
            </w:r>
            <w:r w:rsidR="00E1288F" w:rsidRPr="00DB0B2E">
              <w:rPr>
                <w:rFonts w:ascii="Calibri" w:eastAsia="Calibri" w:hAnsi="Calibri" w:cs="Times New Roman"/>
              </w:rPr>
              <w:t>.</w:t>
            </w:r>
          </w:p>
        </w:tc>
      </w:tr>
      <w:tr w:rsidR="00947C1C" w:rsidRPr="00DB0B2E" w14:paraId="13DBB24D" w14:textId="77777777" w:rsidTr="00C81E11">
        <w:tc>
          <w:tcPr>
            <w:tcW w:w="2263" w:type="dxa"/>
          </w:tcPr>
          <w:p w14:paraId="17ACCD37" w14:textId="77777777" w:rsidR="00947C1C" w:rsidRPr="00DB0B2E" w:rsidRDefault="00947C1C" w:rsidP="00863AD4">
            <w:pPr>
              <w:spacing w:line="360" w:lineRule="auto"/>
              <w:rPr>
                <w:rFonts w:ascii="Calibri" w:eastAsia="Calibri" w:hAnsi="Calibri" w:cs="Times New Roman"/>
              </w:rPr>
            </w:pPr>
            <w:r w:rsidRPr="00DB0B2E">
              <w:rPr>
                <w:rFonts w:ascii="Calibri" w:eastAsia="Calibri" w:hAnsi="Calibri" w:cs="Times New Roman"/>
                <w:b/>
                <w:bCs/>
              </w:rPr>
              <w:t>Industriel</w:t>
            </w:r>
            <w:r w:rsidRPr="00DB0B2E">
              <w:rPr>
                <w:rFonts w:ascii="Calibri" w:eastAsia="Calibri" w:hAnsi="Calibri" w:cs="Times New Roman"/>
              </w:rPr>
              <w:t> </w:t>
            </w:r>
          </w:p>
        </w:tc>
        <w:tc>
          <w:tcPr>
            <w:tcW w:w="6799" w:type="dxa"/>
          </w:tcPr>
          <w:p w14:paraId="29D963F0" w14:textId="4FBDED03"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entité dont l’activité économique se rapporte à l’industrie et à la production industrielle</w:t>
            </w:r>
            <w:r w:rsidR="00E1288F" w:rsidRPr="00DB0B2E">
              <w:rPr>
                <w:rFonts w:ascii="Calibri" w:eastAsia="Calibri" w:hAnsi="Calibri" w:cs="Times New Roman"/>
              </w:rPr>
              <w:t>.</w:t>
            </w:r>
          </w:p>
        </w:tc>
      </w:tr>
      <w:tr w:rsidR="00947C1C" w:rsidRPr="00DB0B2E" w14:paraId="6E6C5446" w14:textId="77777777" w:rsidTr="00C81E11">
        <w:tc>
          <w:tcPr>
            <w:tcW w:w="2263" w:type="dxa"/>
          </w:tcPr>
          <w:p w14:paraId="34843634" w14:textId="77777777" w:rsidR="00947C1C" w:rsidRPr="00DB0B2E" w:rsidRDefault="00947C1C" w:rsidP="00863AD4">
            <w:pPr>
              <w:spacing w:line="360" w:lineRule="auto"/>
              <w:rPr>
                <w:rFonts w:ascii="Calibri" w:eastAsia="Calibri" w:hAnsi="Calibri" w:cs="Times New Roman"/>
                <w:b/>
                <w:bCs/>
              </w:rPr>
            </w:pPr>
            <w:r w:rsidRPr="00DB0B2E">
              <w:rPr>
                <w:rFonts w:ascii="Calibri" w:eastAsia="Calibri" w:hAnsi="Calibri" w:cs="Times New Roman"/>
                <w:b/>
                <w:bCs/>
              </w:rPr>
              <w:t>Plantation</w:t>
            </w:r>
          </w:p>
          <w:p w14:paraId="223FC208" w14:textId="77777777" w:rsidR="00556997" w:rsidRPr="00DB0B2E" w:rsidRDefault="00556997" w:rsidP="00556997">
            <w:pPr>
              <w:rPr>
                <w:rFonts w:ascii="Calibri" w:eastAsia="Calibri" w:hAnsi="Calibri" w:cs="Times New Roman"/>
                <w:b/>
                <w:bCs/>
              </w:rPr>
            </w:pPr>
          </w:p>
          <w:p w14:paraId="6E53EBB8" w14:textId="4F203937" w:rsidR="00556997" w:rsidRPr="00DB0B2E" w:rsidRDefault="00556997" w:rsidP="00556997">
            <w:pPr>
              <w:rPr>
                <w:rFonts w:ascii="Calibri" w:eastAsia="Calibri" w:hAnsi="Calibri" w:cs="Times New Roman"/>
              </w:rPr>
            </w:pPr>
          </w:p>
        </w:tc>
        <w:tc>
          <w:tcPr>
            <w:tcW w:w="6799" w:type="dxa"/>
          </w:tcPr>
          <w:p w14:paraId="2486D114" w14:textId="443A5C90" w:rsidR="00947C1C" w:rsidRPr="00DB0B2E" w:rsidRDefault="00947C1C" w:rsidP="00863AD4">
            <w:pPr>
              <w:spacing w:line="360" w:lineRule="auto"/>
              <w:jc w:val="both"/>
              <w:rPr>
                <w:rFonts w:ascii="Calibri" w:eastAsia="Calibri" w:hAnsi="Calibri" w:cs="Times New Roman"/>
              </w:rPr>
            </w:pPr>
            <w:r w:rsidRPr="00DB0B2E">
              <w:rPr>
                <w:rFonts w:ascii="Calibri" w:eastAsia="Calibri" w:hAnsi="Calibri" w:cs="Times New Roman"/>
              </w:rPr>
              <w:t>: il s’agit des reboisements à vocation bois énergie dans le domaine privé ou celui de l’Etat</w:t>
            </w:r>
            <w:r w:rsidR="00E1288F" w:rsidRPr="00DB0B2E">
              <w:rPr>
                <w:rFonts w:ascii="Calibri" w:eastAsia="Calibri" w:hAnsi="Calibri" w:cs="Times New Roman"/>
              </w:rPr>
              <w:t>.</w:t>
            </w:r>
          </w:p>
          <w:p w14:paraId="630FC102" w14:textId="77777777" w:rsidR="00947C1C" w:rsidRPr="00DB0B2E" w:rsidRDefault="00947C1C" w:rsidP="00863AD4">
            <w:pPr>
              <w:spacing w:line="360" w:lineRule="auto"/>
              <w:rPr>
                <w:rFonts w:ascii="Calibri" w:eastAsia="Calibri" w:hAnsi="Calibri" w:cs="Times New Roman"/>
              </w:rPr>
            </w:pPr>
          </w:p>
        </w:tc>
      </w:tr>
    </w:tbl>
    <w:p w14:paraId="6770EED1" w14:textId="77777777" w:rsidR="00556997" w:rsidRDefault="00556997" w:rsidP="00863AD4">
      <w:pPr>
        <w:spacing w:line="360" w:lineRule="auto"/>
        <w:sectPr w:rsidR="00556997" w:rsidSect="00081395">
          <w:pgSz w:w="11906" w:h="16838"/>
          <w:pgMar w:top="1417" w:right="1417" w:bottom="1417" w:left="1417" w:header="708" w:footer="708" w:gutter="0"/>
          <w:pgNumType w:fmt="lowerRoman" w:start="1"/>
          <w:cols w:space="708"/>
          <w:docGrid w:linePitch="360"/>
        </w:sectPr>
      </w:pPr>
    </w:p>
    <w:p w14:paraId="77939227" w14:textId="77777777" w:rsidR="00863AD4" w:rsidRPr="00863AD4" w:rsidRDefault="00863AD4" w:rsidP="00863AD4">
      <w:pPr>
        <w:pStyle w:val="Titre1"/>
        <w:numPr>
          <w:ilvl w:val="0"/>
          <w:numId w:val="9"/>
        </w:numPr>
        <w:spacing w:line="360" w:lineRule="auto"/>
        <w:rPr>
          <w:b/>
          <w:bCs/>
        </w:rPr>
      </w:pPr>
      <w:bookmarkStart w:id="3" w:name="_Toc75162445"/>
      <w:r w:rsidRPr="00863AD4">
        <w:rPr>
          <w:b/>
          <w:bCs/>
        </w:rPr>
        <w:lastRenderedPageBreak/>
        <w:t>PRESENTATION DES INDICATEURS</w:t>
      </w:r>
      <w:bookmarkEnd w:id="3"/>
    </w:p>
    <w:p w14:paraId="735AD5B4" w14:textId="6D8DBB68" w:rsidR="00863AD4" w:rsidRDefault="00863AD4" w:rsidP="00863AD4">
      <w:pPr>
        <w:spacing w:line="360" w:lineRule="auto"/>
      </w:pPr>
      <w:r>
        <w:t>Le concept de ces indicateurs est de proposer un outil mesurable dans le système de suivi de la filière bois énergie et adoption d’alternatives de cuisson qui permettra de mesurer leur évolution au fil des années.  Le choix de ces indicateurs découle des expériences et bonnes pratiques des organismes opérant dans la filière bois énergie</w:t>
      </w:r>
      <w:r w:rsidRPr="00863AD4">
        <w:t xml:space="preserve"> et adoption d’alternatives de cuisson</w:t>
      </w:r>
      <w:r>
        <w:t xml:space="preserve">. </w:t>
      </w:r>
    </w:p>
    <w:p w14:paraId="7EC55E30" w14:textId="77777777" w:rsidR="00863AD4" w:rsidRDefault="00863AD4" w:rsidP="00863AD4">
      <w:pPr>
        <w:spacing w:line="360" w:lineRule="auto"/>
      </w:pPr>
      <w:r>
        <w:t xml:space="preserve">Les indicateurs présentés ci-dessous sont sélectionnés à partir des critères suivants : </w:t>
      </w:r>
    </w:p>
    <w:p w14:paraId="74BB44C1" w14:textId="5FE18FAA" w:rsidR="00863AD4" w:rsidRDefault="00863AD4" w:rsidP="00863AD4">
      <w:pPr>
        <w:pStyle w:val="Paragraphedeliste"/>
        <w:numPr>
          <w:ilvl w:val="0"/>
          <w:numId w:val="10"/>
        </w:numPr>
        <w:spacing w:line="360" w:lineRule="auto"/>
      </w:pPr>
      <w:r>
        <w:t>Intégration de plusieurs dimensions du développement durable (environnement, économie, social et gouvernance) dans le même indicateur ;</w:t>
      </w:r>
    </w:p>
    <w:p w14:paraId="4F49A0EA" w14:textId="5F1D2229" w:rsidR="00863AD4" w:rsidRDefault="00863AD4" w:rsidP="00863AD4">
      <w:pPr>
        <w:pStyle w:val="Paragraphedeliste"/>
        <w:numPr>
          <w:ilvl w:val="0"/>
          <w:numId w:val="10"/>
        </w:numPr>
        <w:spacing w:line="360" w:lineRule="auto"/>
      </w:pPr>
      <w:r>
        <w:t xml:space="preserve">Lien avec les documents cadres référentiels, </w:t>
      </w:r>
      <w:r w:rsidRPr="00863AD4">
        <w:t>e</w:t>
      </w:r>
      <w:r>
        <w:t>n</w:t>
      </w:r>
      <w:r w:rsidRPr="00863AD4">
        <w:t>t</w:t>
      </w:r>
      <w:r>
        <w:t>re</w:t>
      </w:r>
      <w:r w:rsidRPr="00863AD4">
        <w:t xml:space="preserve"> autres</w:t>
      </w:r>
      <w:r>
        <w:t xml:space="preserve"> : </w:t>
      </w:r>
      <w:proofErr w:type="spellStart"/>
      <w:r>
        <w:t>PolFor</w:t>
      </w:r>
      <w:proofErr w:type="spellEnd"/>
      <w:r>
        <w:t>, SNABE, NPE ;</w:t>
      </w:r>
    </w:p>
    <w:p w14:paraId="56AF1423" w14:textId="6421FD0B" w:rsidR="00863AD4" w:rsidRDefault="00863AD4" w:rsidP="00863AD4">
      <w:pPr>
        <w:pStyle w:val="Paragraphedeliste"/>
        <w:numPr>
          <w:ilvl w:val="0"/>
          <w:numId w:val="10"/>
        </w:numPr>
        <w:spacing w:line="360" w:lineRule="auto"/>
      </w:pPr>
      <w:r>
        <w:t xml:space="preserve">Facilité de recueil de données et mises à jour. </w:t>
      </w:r>
    </w:p>
    <w:p w14:paraId="5124BFBE" w14:textId="0EDCADC3" w:rsidR="00863AD4" w:rsidRDefault="00863AD4" w:rsidP="00863AD4">
      <w:pPr>
        <w:spacing w:line="360" w:lineRule="auto"/>
      </w:pPr>
      <w:r>
        <w:t>Par ces indicateurs qui font l’objet d’un tableau de bord, le système élaboré constitue un outil de référence et de prise de décision pour tous les utilisateurs</w:t>
      </w:r>
      <w:r w:rsidR="008A6B56">
        <w:t xml:space="preserve"> avec une é</w:t>
      </w:r>
      <w:r w:rsidR="008A6B56" w:rsidRPr="008A6B56">
        <w:t xml:space="preserve">chelle ce comparabilité </w:t>
      </w:r>
      <w:r w:rsidR="008A6B56">
        <w:t>annuelle.</w:t>
      </w:r>
      <w:r>
        <w:br w:type="page"/>
      </w:r>
    </w:p>
    <w:p w14:paraId="075B5019" w14:textId="77777777" w:rsidR="0083362D" w:rsidRDefault="0083362D" w:rsidP="00863AD4">
      <w:pPr>
        <w:spacing w:line="360" w:lineRule="auto"/>
        <w:sectPr w:rsidR="0083362D" w:rsidSect="00556997">
          <w:footerReference w:type="default" r:id="rId12"/>
          <w:pgSz w:w="11906" w:h="16838"/>
          <w:pgMar w:top="1417" w:right="1417" w:bottom="1417" w:left="1417" w:header="708" w:footer="708" w:gutter="0"/>
          <w:pgNumType w:start="1"/>
          <w:cols w:space="708"/>
          <w:docGrid w:linePitch="360"/>
        </w:sectPr>
      </w:pPr>
    </w:p>
    <w:p w14:paraId="051A33A2" w14:textId="283FD29A" w:rsidR="00A92FDE" w:rsidRPr="009E0008" w:rsidRDefault="009E0008" w:rsidP="00863AD4">
      <w:pPr>
        <w:pStyle w:val="Titre1"/>
        <w:numPr>
          <w:ilvl w:val="0"/>
          <w:numId w:val="9"/>
        </w:numPr>
        <w:spacing w:line="360" w:lineRule="auto"/>
        <w:rPr>
          <w:b/>
          <w:bCs/>
        </w:rPr>
      </w:pPr>
      <w:bookmarkStart w:id="4" w:name="_Toc75162446"/>
      <w:r w:rsidRPr="009E0008">
        <w:rPr>
          <w:b/>
          <w:bCs/>
        </w:rPr>
        <w:lastRenderedPageBreak/>
        <w:t>Pseudo-arbre</w:t>
      </w:r>
      <w:r w:rsidR="006B3587" w:rsidRPr="009E0008">
        <w:rPr>
          <w:b/>
          <w:bCs/>
        </w:rPr>
        <w:t xml:space="preserve"> des indicateurs</w:t>
      </w:r>
      <w:bookmarkEnd w:id="4"/>
    </w:p>
    <w:p w14:paraId="34F4AB0D" w14:textId="431977B0" w:rsidR="006B3587" w:rsidRDefault="00E1288F" w:rsidP="00863AD4">
      <w:pPr>
        <w:spacing w:line="360" w:lineRule="auto"/>
        <w:jc w:val="center"/>
      </w:pPr>
      <w:r>
        <w:rPr>
          <w:noProof/>
        </w:rPr>
        <w:drawing>
          <wp:inline distT="0" distB="0" distL="0" distR="0" wp14:anchorId="04DC78C9" wp14:editId="21E25D99">
            <wp:extent cx="8994635" cy="540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94635" cy="5400000"/>
                    </a:xfrm>
                    <a:prstGeom prst="rect">
                      <a:avLst/>
                    </a:prstGeom>
                    <a:noFill/>
                  </pic:spPr>
                </pic:pic>
              </a:graphicData>
            </a:graphic>
          </wp:inline>
        </w:drawing>
      </w:r>
    </w:p>
    <w:p w14:paraId="77932F98" w14:textId="0F5CB013" w:rsidR="004B5DE6" w:rsidRPr="009E0008" w:rsidRDefault="004B5DE6" w:rsidP="00863AD4">
      <w:pPr>
        <w:pStyle w:val="Titre1"/>
        <w:numPr>
          <w:ilvl w:val="0"/>
          <w:numId w:val="9"/>
        </w:numPr>
        <w:spacing w:line="360" w:lineRule="auto"/>
        <w:rPr>
          <w:b/>
          <w:bCs/>
        </w:rPr>
      </w:pPr>
      <w:bookmarkStart w:id="5" w:name="_Toc75162447"/>
      <w:r w:rsidRPr="009E0008">
        <w:rPr>
          <w:b/>
          <w:bCs/>
        </w:rPr>
        <w:lastRenderedPageBreak/>
        <w:t>Tableaux des effets/impacts par indicateur</w:t>
      </w:r>
      <w:bookmarkEnd w:id="5"/>
    </w:p>
    <w:tbl>
      <w:tblPr>
        <w:tblStyle w:val="Grilledutableau"/>
        <w:tblW w:w="0" w:type="auto"/>
        <w:tblLook w:val="04A0" w:firstRow="1" w:lastRow="0" w:firstColumn="1" w:lastColumn="0" w:noHBand="0" w:noVBand="1"/>
      </w:tblPr>
      <w:tblGrid>
        <w:gridCol w:w="3964"/>
        <w:gridCol w:w="2410"/>
        <w:gridCol w:w="2551"/>
        <w:gridCol w:w="2552"/>
        <w:gridCol w:w="2409"/>
      </w:tblGrid>
      <w:tr w:rsidR="004B5DE6" w14:paraId="2B7A5EA7" w14:textId="77777777" w:rsidTr="00817438">
        <w:trPr>
          <w:tblHeader/>
        </w:trPr>
        <w:tc>
          <w:tcPr>
            <w:tcW w:w="3964" w:type="dxa"/>
            <w:vMerge w:val="restart"/>
            <w:shd w:val="clear" w:color="auto" w:fill="F7CAAC" w:themeFill="accent2" w:themeFillTint="66"/>
          </w:tcPr>
          <w:p w14:paraId="6495E489" w14:textId="77777777" w:rsidR="004B5DE6" w:rsidRPr="001C71D7" w:rsidRDefault="004B5DE6" w:rsidP="00863AD4">
            <w:pPr>
              <w:spacing w:line="360" w:lineRule="auto"/>
              <w:rPr>
                <w:b/>
                <w:bCs/>
              </w:rPr>
            </w:pPr>
            <w:r w:rsidRPr="001C71D7">
              <w:rPr>
                <w:b/>
                <w:bCs/>
              </w:rPr>
              <w:t>INDICATEURS</w:t>
            </w:r>
          </w:p>
        </w:tc>
        <w:tc>
          <w:tcPr>
            <w:tcW w:w="9922" w:type="dxa"/>
            <w:gridSpan w:val="4"/>
            <w:shd w:val="clear" w:color="auto" w:fill="F7CAAC" w:themeFill="accent2" w:themeFillTint="66"/>
          </w:tcPr>
          <w:p w14:paraId="656D4198" w14:textId="77777777" w:rsidR="004B5DE6" w:rsidRPr="001C71D7" w:rsidRDefault="004B5DE6" w:rsidP="00863AD4">
            <w:pPr>
              <w:spacing w:line="360" w:lineRule="auto"/>
              <w:jc w:val="center"/>
              <w:rPr>
                <w:b/>
                <w:bCs/>
              </w:rPr>
            </w:pPr>
            <w:r w:rsidRPr="001C71D7">
              <w:rPr>
                <w:b/>
                <w:bCs/>
              </w:rPr>
              <w:t>EFFET</w:t>
            </w:r>
            <w:r>
              <w:rPr>
                <w:b/>
                <w:bCs/>
              </w:rPr>
              <w:t xml:space="preserve"> </w:t>
            </w:r>
            <w:r w:rsidRPr="001C71D7">
              <w:rPr>
                <w:b/>
                <w:bCs/>
              </w:rPr>
              <w:t>S</w:t>
            </w:r>
            <w:r>
              <w:rPr>
                <w:b/>
                <w:bCs/>
              </w:rPr>
              <w:t xml:space="preserve"> </w:t>
            </w:r>
            <w:r w:rsidRPr="001C71D7">
              <w:rPr>
                <w:b/>
                <w:bCs/>
              </w:rPr>
              <w:t>/IMPACTS</w:t>
            </w:r>
          </w:p>
        </w:tc>
      </w:tr>
      <w:tr w:rsidR="004B5DE6" w14:paraId="133CCAE7" w14:textId="77777777" w:rsidTr="00817438">
        <w:trPr>
          <w:tblHeader/>
        </w:trPr>
        <w:tc>
          <w:tcPr>
            <w:tcW w:w="3964" w:type="dxa"/>
            <w:vMerge/>
          </w:tcPr>
          <w:p w14:paraId="108DFEDE" w14:textId="77777777" w:rsidR="004B5DE6" w:rsidRDefault="004B5DE6" w:rsidP="00863AD4">
            <w:pPr>
              <w:spacing w:line="360" w:lineRule="auto"/>
            </w:pPr>
          </w:p>
        </w:tc>
        <w:tc>
          <w:tcPr>
            <w:tcW w:w="2410" w:type="dxa"/>
            <w:shd w:val="clear" w:color="auto" w:fill="FBE4D5" w:themeFill="accent2" w:themeFillTint="33"/>
          </w:tcPr>
          <w:p w14:paraId="32774817" w14:textId="77777777" w:rsidR="004B5DE6" w:rsidRDefault="004B5DE6" w:rsidP="00863AD4">
            <w:pPr>
              <w:spacing w:line="360" w:lineRule="auto"/>
              <w:jc w:val="center"/>
            </w:pPr>
            <w:r>
              <w:t>Sociaux</w:t>
            </w:r>
          </w:p>
        </w:tc>
        <w:tc>
          <w:tcPr>
            <w:tcW w:w="2551" w:type="dxa"/>
            <w:shd w:val="clear" w:color="auto" w:fill="FBE4D5" w:themeFill="accent2" w:themeFillTint="33"/>
          </w:tcPr>
          <w:p w14:paraId="25157219" w14:textId="77777777" w:rsidR="004B5DE6" w:rsidRDefault="004B5DE6" w:rsidP="00863AD4">
            <w:pPr>
              <w:spacing w:line="360" w:lineRule="auto"/>
              <w:jc w:val="center"/>
            </w:pPr>
            <w:r>
              <w:t>Environnementaux</w:t>
            </w:r>
          </w:p>
        </w:tc>
        <w:tc>
          <w:tcPr>
            <w:tcW w:w="2552" w:type="dxa"/>
            <w:shd w:val="clear" w:color="auto" w:fill="FBE4D5" w:themeFill="accent2" w:themeFillTint="33"/>
          </w:tcPr>
          <w:p w14:paraId="42C6F775" w14:textId="77777777" w:rsidR="004B5DE6" w:rsidRDefault="004B5DE6" w:rsidP="00863AD4">
            <w:pPr>
              <w:spacing w:line="360" w:lineRule="auto"/>
              <w:jc w:val="center"/>
            </w:pPr>
            <w:r>
              <w:t>Economiques</w:t>
            </w:r>
          </w:p>
        </w:tc>
        <w:tc>
          <w:tcPr>
            <w:tcW w:w="2409" w:type="dxa"/>
            <w:shd w:val="clear" w:color="auto" w:fill="FBE4D5" w:themeFill="accent2" w:themeFillTint="33"/>
          </w:tcPr>
          <w:p w14:paraId="66101D31" w14:textId="77777777" w:rsidR="004B5DE6" w:rsidRDefault="004B5DE6" w:rsidP="00863AD4">
            <w:pPr>
              <w:spacing w:line="360" w:lineRule="auto"/>
              <w:jc w:val="center"/>
            </w:pPr>
            <w:r>
              <w:t>Gouvernance</w:t>
            </w:r>
          </w:p>
        </w:tc>
      </w:tr>
      <w:tr w:rsidR="004B5DE6" w14:paraId="603163C7" w14:textId="77777777" w:rsidTr="00817438">
        <w:tc>
          <w:tcPr>
            <w:tcW w:w="3964" w:type="dxa"/>
          </w:tcPr>
          <w:p w14:paraId="1E40BB30" w14:textId="58CA8284" w:rsidR="004B5DE6" w:rsidRDefault="004B5DE6" w:rsidP="00863AD4">
            <w:pPr>
              <w:spacing w:line="360" w:lineRule="auto"/>
            </w:pPr>
            <w:r>
              <w:t>E</w:t>
            </w:r>
            <w:r w:rsidRPr="00EE0147">
              <w:t xml:space="preserve">xistence des documents cadres référentiels relatifs aux bois énergie </w:t>
            </w:r>
            <w:r w:rsidR="00863AD4">
              <w:t xml:space="preserve">et alternatives de cuisson </w:t>
            </w:r>
            <w:r w:rsidRPr="00EE0147">
              <w:t>à chaque niveau</w:t>
            </w:r>
          </w:p>
        </w:tc>
        <w:tc>
          <w:tcPr>
            <w:tcW w:w="2410" w:type="dxa"/>
          </w:tcPr>
          <w:p w14:paraId="3459EDEA" w14:textId="77777777" w:rsidR="004B5DE6" w:rsidRDefault="004B5DE6" w:rsidP="00863AD4">
            <w:pPr>
              <w:spacing w:line="360" w:lineRule="auto"/>
            </w:pPr>
          </w:p>
        </w:tc>
        <w:tc>
          <w:tcPr>
            <w:tcW w:w="2551" w:type="dxa"/>
          </w:tcPr>
          <w:p w14:paraId="7908FCCD" w14:textId="77777777" w:rsidR="004B5DE6" w:rsidRDefault="004B5DE6" w:rsidP="00863AD4">
            <w:pPr>
              <w:spacing w:line="360" w:lineRule="auto"/>
            </w:pPr>
          </w:p>
        </w:tc>
        <w:tc>
          <w:tcPr>
            <w:tcW w:w="2552" w:type="dxa"/>
          </w:tcPr>
          <w:p w14:paraId="68D739A9" w14:textId="77777777" w:rsidR="004B5DE6" w:rsidRDefault="004B5DE6" w:rsidP="00863AD4">
            <w:pPr>
              <w:spacing w:line="360" w:lineRule="auto"/>
            </w:pPr>
          </w:p>
        </w:tc>
        <w:tc>
          <w:tcPr>
            <w:tcW w:w="2409" w:type="dxa"/>
          </w:tcPr>
          <w:p w14:paraId="23CBE588" w14:textId="77777777" w:rsidR="004B5DE6" w:rsidRDefault="004B5DE6" w:rsidP="00863AD4">
            <w:pPr>
              <w:spacing w:line="360" w:lineRule="auto"/>
            </w:pPr>
            <w:r w:rsidRPr="00F8105B">
              <w:rPr>
                <w:rFonts w:ascii="Calibri" w:eastAsia="Calibri" w:hAnsi="Calibri" w:cs="Times New Roman"/>
              </w:rPr>
              <w:t>Renforcement de la gouvernance</w:t>
            </w:r>
          </w:p>
        </w:tc>
      </w:tr>
      <w:tr w:rsidR="004B5DE6" w14:paraId="225A90E5" w14:textId="77777777" w:rsidTr="008A6B56">
        <w:tc>
          <w:tcPr>
            <w:tcW w:w="3964" w:type="dxa"/>
          </w:tcPr>
          <w:p w14:paraId="61CDAD2C" w14:textId="77777777" w:rsidR="004B5DE6" w:rsidRDefault="004B5DE6" w:rsidP="00863AD4">
            <w:pPr>
              <w:spacing w:line="360" w:lineRule="auto"/>
            </w:pPr>
            <w:r>
              <w:rPr>
                <w:rFonts w:ascii="Calibri" w:eastAsia="Calibri" w:hAnsi="Calibri" w:cs="Times New Roman"/>
              </w:rPr>
              <w:t>Surface p</w:t>
            </w:r>
            <w:r w:rsidRPr="00F8105B">
              <w:rPr>
                <w:rFonts w:ascii="Calibri" w:eastAsia="Calibri" w:hAnsi="Calibri" w:cs="Times New Roman"/>
              </w:rPr>
              <w:t>otentiel</w:t>
            </w:r>
            <w:r>
              <w:rPr>
                <w:rFonts w:ascii="Calibri" w:eastAsia="Calibri" w:hAnsi="Calibri" w:cs="Times New Roman"/>
              </w:rPr>
              <w:t>le</w:t>
            </w:r>
            <w:r w:rsidRPr="00F8105B">
              <w:rPr>
                <w:rFonts w:ascii="Calibri" w:eastAsia="Calibri" w:hAnsi="Calibri" w:cs="Times New Roman"/>
              </w:rPr>
              <w:t xml:space="preserve"> en Bois Energie de</w:t>
            </w:r>
            <w:r>
              <w:rPr>
                <w:rFonts w:ascii="Calibri" w:eastAsia="Calibri" w:hAnsi="Calibri" w:cs="Times New Roman"/>
              </w:rPr>
              <w:t>s</w:t>
            </w:r>
            <w:r w:rsidRPr="00F8105B">
              <w:rPr>
                <w:rFonts w:ascii="Calibri" w:eastAsia="Calibri" w:hAnsi="Calibri" w:cs="Times New Roman"/>
              </w:rPr>
              <w:t xml:space="preserve"> forêt</w:t>
            </w:r>
            <w:r>
              <w:rPr>
                <w:rFonts w:ascii="Calibri" w:eastAsia="Calibri" w:hAnsi="Calibri" w:cs="Times New Roman"/>
              </w:rPr>
              <w:t>s</w:t>
            </w:r>
            <w:r w:rsidRPr="00F8105B">
              <w:rPr>
                <w:rFonts w:ascii="Calibri" w:eastAsia="Calibri" w:hAnsi="Calibri" w:cs="Times New Roman"/>
              </w:rPr>
              <w:t xml:space="preserve"> naturelle</w:t>
            </w:r>
            <w:r>
              <w:rPr>
                <w:rFonts w:ascii="Calibri" w:eastAsia="Calibri" w:hAnsi="Calibri" w:cs="Times New Roman"/>
              </w:rPr>
              <w:t>s</w:t>
            </w:r>
          </w:p>
        </w:tc>
        <w:tc>
          <w:tcPr>
            <w:tcW w:w="2410" w:type="dxa"/>
          </w:tcPr>
          <w:p w14:paraId="2A794FB2" w14:textId="77777777" w:rsidR="004B5DE6" w:rsidRDefault="004B5DE6" w:rsidP="00863AD4">
            <w:pPr>
              <w:spacing w:line="360" w:lineRule="auto"/>
            </w:pPr>
          </w:p>
        </w:tc>
        <w:tc>
          <w:tcPr>
            <w:tcW w:w="2551" w:type="dxa"/>
          </w:tcPr>
          <w:p w14:paraId="0AF329EC" w14:textId="77777777" w:rsidR="004B5DE6" w:rsidRPr="005E7ED8" w:rsidRDefault="004B5DE6" w:rsidP="00863AD4">
            <w:pPr>
              <w:autoSpaceDE w:val="0"/>
              <w:autoSpaceDN w:val="0"/>
              <w:adjustRightInd w:val="0"/>
              <w:spacing w:line="360" w:lineRule="auto"/>
              <w:rPr>
                <w:rFonts w:ascii="Calibri" w:eastAsia="Calibri" w:hAnsi="Calibri" w:cs="Times New Roman"/>
              </w:rPr>
            </w:pPr>
            <w:r w:rsidRPr="005E7ED8">
              <w:rPr>
                <w:rFonts w:ascii="Calibri" w:eastAsia="Calibri" w:hAnsi="Calibri" w:cs="Times New Roman"/>
              </w:rPr>
              <w:t>Pré</w:t>
            </w:r>
            <w:r>
              <w:rPr>
                <w:rFonts w:ascii="Calibri" w:eastAsia="Calibri" w:hAnsi="Calibri" w:cs="Times New Roman"/>
              </w:rPr>
              <w:t>s</w:t>
            </w:r>
            <w:r w:rsidRPr="005E7ED8">
              <w:rPr>
                <w:rFonts w:ascii="Calibri" w:eastAsia="Calibri" w:hAnsi="Calibri" w:cs="Times New Roman"/>
              </w:rPr>
              <w:t>ervation des forêts et les fonctions associées</w:t>
            </w:r>
          </w:p>
          <w:p w14:paraId="2D9BF670" w14:textId="77777777" w:rsidR="004B5DE6" w:rsidRDefault="004B5DE6" w:rsidP="00863AD4">
            <w:pPr>
              <w:spacing w:line="360" w:lineRule="auto"/>
            </w:pPr>
          </w:p>
        </w:tc>
        <w:tc>
          <w:tcPr>
            <w:tcW w:w="2552" w:type="dxa"/>
            <w:vMerge w:val="restart"/>
            <w:vAlign w:val="center"/>
          </w:tcPr>
          <w:p w14:paraId="5349E6E6" w14:textId="77777777" w:rsidR="004B5DE6" w:rsidRPr="005E7ED8" w:rsidRDefault="004B5DE6" w:rsidP="008A6B56">
            <w:pPr>
              <w:spacing w:line="360" w:lineRule="auto"/>
              <w:rPr>
                <w:rFonts w:ascii="Calibri" w:eastAsia="Calibri" w:hAnsi="Calibri" w:cs="Times New Roman"/>
              </w:rPr>
            </w:pPr>
            <w:r w:rsidRPr="005E7ED8">
              <w:rPr>
                <w:rFonts w:ascii="Calibri" w:eastAsia="Calibri" w:hAnsi="Calibri" w:cs="Times New Roman"/>
              </w:rPr>
              <w:t>Approvisionnement durable en</w:t>
            </w:r>
          </w:p>
          <w:p w14:paraId="552BF8F1" w14:textId="77777777" w:rsidR="004B5DE6" w:rsidRPr="00AB5201" w:rsidRDefault="004B5DE6" w:rsidP="008A6B56">
            <w:pPr>
              <w:spacing w:line="360" w:lineRule="auto"/>
              <w:rPr>
                <w:rFonts w:ascii="Calibri" w:eastAsia="Calibri" w:hAnsi="Calibri" w:cs="Times New Roman"/>
              </w:rPr>
            </w:pPr>
            <w:r w:rsidRPr="005E7ED8">
              <w:rPr>
                <w:rFonts w:ascii="Calibri" w:eastAsia="Calibri" w:hAnsi="Calibri" w:cs="Times New Roman"/>
              </w:rPr>
              <w:t>Bois énergie</w:t>
            </w:r>
          </w:p>
        </w:tc>
        <w:tc>
          <w:tcPr>
            <w:tcW w:w="2409" w:type="dxa"/>
          </w:tcPr>
          <w:p w14:paraId="12FA2B44" w14:textId="77777777" w:rsidR="004B5DE6" w:rsidRDefault="004B5DE6" w:rsidP="00863AD4">
            <w:pPr>
              <w:spacing w:line="360" w:lineRule="auto"/>
            </w:pPr>
          </w:p>
        </w:tc>
      </w:tr>
      <w:tr w:rsidR="004B5DE6" w14:paraId="5BFA9401" w14:textId="77777777" w:rsidTr="00817438">
        <w:tc>
          <w:tcPr>
            <w:tcW w:w="3964" w:type="dxa"/>
          </w:tcPr>
          <w:p w14:paraId="077555B8" w14:textId="77777777" w:rsidR="004B5DE6" w:rsidRDefault="004B5DE6" w:rsidP="00863AD4">
            <w:pPr>
              <w:spacing w:line="360" w:lineRule="auto"/>
            </w:pPr>
            <w:r w:rsidRPr="00EE0147">
              <w:t>Superficie potentielle en bois énergie des reboisements</w:t>
            </w:r>
          </w:p>
        </w:tc>
        <w:tc>
          <w:tcPr>
            <w:tcW w:w="2410" w:type="dxa"/>
          </w:tcPr>
          <w:p w14:paraId="3B6633FC" w14:textId="77777777" w:rsidR="004B5DE6" w:rsidRDefault="004B5DE6" w:rsidP="00863AD4">
            <w:pPr>
              <w:spacing w:line="360" w:lineRule="auto"/>
            </w:pPr>
            <w:r w:rsidRPr="005E7ED8">
              <w:rPr>
                <w:rFonts w:ascii="Calibri" w:eastAsia="Calibri" w:hAnsi="Calibri" w:cs="Times New Roman"/>
              </w:rPr>
              <w:t>Accès au foncier</w:t>
            </w:r>
          </w:p>
        </w:tc>
        <w:tc>
          <w:tcPr>
            <w:tcW w:w="2551" w:type="dxa"/>
          </w:tcPr>
          <w:p w14:paraId="5AE5109A" w14:textId="77777777" w:rsidR="004B5DE6" w:rsidRDefault="004B5DE6" w:rsidP="00863AD4">
            <w:pPr>
              <w:spacing w:line="360" w:lineRule="auto"/>
            </w:pPr>
          </w:p>
        </w:tc>
        <w:tc>
          <w:tcPr>
            <w:tcW w:w="2552" w:type="dxa"/>
            <w:vMerge/>
          </w:tcPr>
          <w:p w14:paraId="20BADDC8" w14:textId="77777777" w:rsidR="004B5DE6" w:rsidRPr="00AB5201" w:rsidRDefault="004B5DE6" w:rsidP="00863AD4">
            <w:pPr>
              <w:spacing w:line="360" w:lineRule="auto"/>
              <w:rPr>
                <w:rFonts w:ascii="Calibri" w:eastAsia="Calibri" w:hAnsi="Calibri" w:cs="Times New Roman"/>
              </w:rPr>
            </w:pPr>
          </w:p>
        </w:tc>
        <w:tc>
          <w:tcPr>
            <w:tcW w:w="2409" w:type="dxa"/>
          </w:tcPr>
          <w:p w14:paraId="3BDB0278" w14:textId="77777777" w:rsidR="004B5DE6" w:rsidRDefault="004B5DE6" w:rsidP="00863AD4">
            <w:pPr>
              <w:spacing w:line="360" w:lineRule="auto"/>
            </w:pPr>
          </w:p>
        </w:tc>
      </w:tr>
      <w:tr w:rsidR="004B5DE6" w14:paraId="76B86D65" w14:textId="77777777" w:rsidTr="00817438">
        <w:tc>
          <w:tcPr>
            <w:tcW w:w="3964" w:type="dxa"/>
          </w:tcPr>
          <w:p w14:paraId="370CBF1C" w14:textId="77777777" w:rsidR="004B5DE6" w:rsidRDefault="004B5DE6" w:rsidP="00863AD4">
            <w:pPr>
              <w:spacing w:line="360" w:lineRule="auto"/>
            </w:pPr>
            <w:r w:rsidRPr="00EE0147">
              <w:t>Nombre de plants produits prêts à être mis en terre</w:t>
            </w:r>
          </w:p>
        </w:tc>
        <w:tc>
          <w:tcPr>
            <w:tcW w:w="2410" w:type="dxa"/>
          </w:tcPr>
          <w:p w14:paraId="7F0C595A" w14:textId="77777777" w:rsidR="004B5DE6" w:rsidRDefault="004B5DE6" w:rsidP="00863AD4">
            <w:pPr>
              <w:spacing w:line="360" w:lineRule="auto"/>
            </w:pPr>
            <w:r w:rsidRPr="005E7ED8">
              <w:rPr>
                <w:rFonts w:ascii="Calibri" w:eastAsia="Calibri" w:hAnsi="Calibri" w:cs="Times New Roman"/>
              </w:rPr>
              <w:t>Accès des femmes aux activités de la filière Bois Energie</w:t>
            </w:r>
          </w:p>
        </w:tc>
        <w:tc>
          <w:tcPr>
            <w:tcW w:w="2551" w:type="dxa"/>
          </w:tcPr>
          <w:p w14:paraId="17CCDD24" w14:textId="77777777" w:rsidR="004B5DE6" w:rsidRDefault="004B5DE6" w:rsidP="00863AD4">
            <w:pPr>
              <w:spacing w:line="360" w:lineRule="auto"/>
            </w:pPr>
          </w:p>
        </w:tc>
        <w:tc>
          <w:tcPr>
            <w:tcW w:w="2552" w:type="dxa"/>
          </w:tcPr>
          <w:p w14:paraId="294C62E7" w14:textId="77777777" w:rsidR="004B5DE6" w:rsidRDefault="004B5DE6" w:rsidP="00863AD4">
            <w:pPr>
              <w:spacing w:line="360" w:lineRule="auto"/>
            </w:pPr>
          </w:p>
        </w:tc>
        <w:tc>
          <w:tcPr>
            <w:tcW w:w="2409" w:type="dxa"/>
          </w:tcPr>
          <w:p w14:paraId="727B13ED" w14:textId="77777777" w:rsidR="004B5DE6" w:rsidRDefault="004B5DE6" w:rsidP="00863AD4">
            <w:pPr>
              <w:spacing w:line="360" w:lineRule="auto"/>
            </w:pPr>
          </w:p>
        </w:tc>
      </w:tr>
      <w:tr w:rsidR="004B5DE6" w14:paraId="3F3F8684" w14:textId="77777777" w:rsidTr="00817438">
        <w:tc>
          <w:tcPr>
            <w:tcW w:w="3964" w:type="dxa"/>
          </w:tcPr>
          <w:p w14:paraId="1C49B71A" w14:textId="77777777" w:rsidR="004B5DE6" w:rsidRDefault="004B5DE6" w:rsidP="00863AD4">
            <w:pPr>
              <w:spacing w:line="360" w:lineRule="auto"/>
            </w:pPr>
            <w:r w:rsidRPr="00EE0147">
              <w:t>Nombre des différents types d’équipement de cuisson disponible pour l’offre</w:t>
            </w:r>
          </w:p>
        </w:tc>
        <w:tc>
          <w:tcPr>
            <w:tcW w:w="2410" w:type="dxa"/>
          </w:tcPr>
          <w:p w14:paraId="53021A37" w14:textId="77777777" w:rsidR="004B5DE6" w:rsidRDefault="004B5DE6" w:rsidP="00863AD4">
            <w:pPr>
              <w:spacing w:line="360" w:lineRule="auto"/>
            </w:pPr>
          </w:p>
        </w:tc>
        <w:tc>
          <w:tcPr>
            <w:tcW w:w="2551" w:type="dxa"/>
            <w:vMerge w:val="restart"/>
          </w:tcPr>
          <w:p w14:paraId="12B48B8C" w14:textId="77777777" w:rsidR="004B5DE6" w:rsidRDefault="004B5DE6" w:rsidP="00863AD4">
            <w:pPr>
              <w:spacing w:line="360" w:lineRule="auto"/>
            </w:pPr>
            <w:r>
              <w:t>Diminution des pressions sur les forêts naturelles</w:t>
            </w:r>
          </w:p>
          <w:p w14:paraId="335A2BFD" w14:textId="77777777" w:rsidR="004B5DE6" w:rsidRDefault="004B5DE6" w:rsidP="00863AD4">
            <w:pPr>
              <w:spacing w:line="360" w:lineRule="auto"/>
            </w:pPr>
          </w:p>
          <w:p w14:paraId="2556503E" w14:textId="77777777" w:rsidR="004B5DE6" w:rsidRDefault="004B5DE6" w:rsidP="00863AD4">
            <w:pPr>
              <w:spacing w:line="360" w:lineRule="auto"/>
            </w:pPr>
            <w:r>
              <w:t>Diminution de la déforestation qui est la cause principale de changement climatique</w:t>
            </w:r>
          </w:p>
          <w:p w14:paraId="7B51315D" w14:textId="77777777" w:rsidR="004B5DE6" w:rsidRDefault="004B5DE6" w:rsidP="00863AD4">
            <w:pPr>
              <w:spacing w:line="360" w:lineRule="auto"/>
            </w:pPr>
          </w:p>
          <w:p w14:paraId="74DFAAA1" w14:textId="77777777" w:rsidR="004B5DE6" w:rsidRDefault="004B5DE6" w:rsidP="00863AD4">
            <w:pPr>
              <w:spacing w:line="360" w:lineRule="auto"/>
            </w:pPr>
            <w:r>
              <w:lastRenderedPageBreak/>
              <w:t xml:space="preserve">Diminution de la dépendance en Bois Energie </w:t>
            </w:r>
          </w:p>
        </w:tc>
        <w:tc>
          <w:tcPr>
            <w:tcW w:w="2552" w:type="dxa"/>
          </w:tcPr>
          <w:p w14:paraId="43A1C76B" w14:textId="77777777" w:rsidR="004B5DE6" w:rsidRDefault="004B5DE6" w:rsidP="00863AD4">
            <w:pPr>
              <w:spacing w:line="360" w:lineRule="auto"/>
            </w:pPr>
            <w:r w:rsidRPr="00302456">
              <w:lastRenderedPageBreak/>
              <w:t>Création d’une dynamique économique locale</w:t>
            </w:r>
          </w:p>
        </w:tc>
        <w:tc>
          <w:tcPr>
            <w:tcW w:w="2409" w:type="dxa"/>
          </w:tcPr>
          <w:p w14:paraId="306C2120" w14:textId="77777777" w:rsidR="004B5DE6" w:rsidRDefault="004B5DE6" w:rsidP="00863AD4">
            <w:pPr>
              <w:spacing w:line="360" w:lineRule="auto"/>
            </w:pPr>
          </w:p>
        </w:tc>
      </w:tr>
      <w:tr w:rsidR="004B5DE6" w14:paraId="3215788F" w14:textId="77777777" w:rsidTr="00817438">
        <w:tc>
          <w:tcPr>
            <w:tcW w:w="3964" w:type="dxa"/>
          </w:tcPr>
          <w:p w14:paraId="03185125" w14:textId="77777777" w:rsidR="004B5DE6" w:rsidRDefault="004B5DE6" w:rsidP="00863AD4">
            <w:pPr>
              <w:spacing w:line="360" w:lineRule="auto"/>
            </w:pPr>
            <w:r w:rsidRPr="00EE0147">
              <w:t>Quantité d’énergie disponible issue de différents types d’alternatives de cuisson</w:t>
            </w:r>
          </w:p>
        </w:tc>
        <w:tc>
          <w:tcPr>
            <w:tcW w:w="2410" w:type="dxa"/>
          </w:tcPr>
          <w:p w14:paraId="56EDAE17" w14:textId="77777777" w:rsidR="004B5DE6" w:rsidRDefault="004B5DE6" w:rsidP="00863AD4">
            <w:pPr>
              <w:spacing w:line="360" w:lineRule="auto"/>
            </w:pPr>
            <w:r w:rsidRPr="009D02D0">
              <w:t>Amélioration des conditions de cuisson</w:t>
            </w:r>
          </w:p>
        </w:tc>
        <w:tc>
          <w:tcPr>
            <w:tcW w:w="2551" w:type="dxa"/>
            <w:vMerge/>
          </w:tcPr>
          <w:p w14:paraId="773C844B" w14:textId="77777777" w:rsidR="004B5DE6" w:rsidRDefault="004B5DE6" w:rsidP="00863AD4">
            <w:pPr>
              <w:spacing w:line="360" w:lineRule="auto"/>
            </w:pPr>
          </w:p>
        </w:tc>
        <w:tc>
          <w:tcPr>
            <w:tcW w:w="2552" w:type="dxa"/>
          </w:tcPr>
          <w:p w14:paraId="67AC1D37" w14:textId="77777777" w:rsidR="004B5DE6" w:rsidRDefault="004B5DE6" w:rsidP="00863AD4">
            <w:pPr>
              <w:spacing w:line="360" w:lineRule="auto"/>
            </w:pPr>
          </w:p>
        </w:tc>
        <w:tc>
          <w:tcPr>
            <w:tcW w:w="2409" w:type="dxa"/>
          </w:tcPr>
          <w:p w14:paraId="50E9BD71" w14:textId="77777777" w:rsidR="004B5DE6" w:rsidRDefault="004B5DE6" w:rsidP="00863AD4">
            <w:pPr>
              <w:spacing w:line="360" w:lineRule="auto"/>
            </w:pPr>
          </w:p>
        </w:tc>
      </w:tr>
      <w:tr w:rsidR="004B5DE6" w14:paraId="44B3FAD9" w14:textId="77777777" w:rsidTr="00817438">
        <w:tc>
          <w:tcPr>
            <w:tcW w:w="3964" w:type="dxa"/>
          </w:tcPr>
          <w:p w14:paraId="7CBEDDFD" w14:textId="77777777" w:rsidR="004B5DE6" w:rsidRDefault="004B5DE6" w:rsidP="00863AD4">
            <w:pPr>
              <w:spacing w:line="360" w:lineRule="auto"/>
            </w:pPr>
            <w:r w:rsidRPr="00EE0147">
              <w:t>Taux d'adoption des pratiques/techniques de carbonisation améliorées par les charbonniers formellement recensés</w:t>
            </w:r>
          </w:p>
        </w:tc>
        <w:tc>
          <w:tcPr>
            <w:tcW w:w="2410" w:type="dxa"/>
          </w:tcPr>
          <w:p w14:paraId="41571D29" w14:textId="77777777" w:rsidR="004B5DE6" w:rsidRPr="00663907" w:rsidRDefault="004B5DE6" w:rsidP="00863AD4">
            <w:pPr>
              <w:spacing w:line="360" w:lineRule="auto"/>
            </w:pPr>
            <w:r w:rsidRPr="00663907">
              <w:t xml:space="preserve">Pratique de meilleure transformation acquise </w:t>
            </w:r>
          </w:p>
          <w:p w14:paraId="46067740" w14:textId="77777777" w:rsidR="004B5DE6" w:rsidRDefault="004B5DE6" w:rsidP="00863AD4">
            <w:pPr>
              <w:spacing w:line="360" w:lineRule="auto"/>
            </w:pPr>
          </w:p>
        </w:tc>
        <w:tc>
          <w:tcPr>
            <w:tcW w:w="2551" w:type="dxa"/>
          </w:tcPr>
          <w:p w14:paraId="0119A56D" w14:textId="77777777" w:rsidR="004B5DE6" w:rsidRPr="005E7ED8" w:rsidRDefault="004B5DE6" w:rsidP="00863AD4">
            <w:pPr>
              <w:autoSpaceDE w:val="0"/>
              <w:autoSpaceDN w:val="0"/>
              <w:adjustRightInd w:val="0"/>
              <w:spacing w:line="360" w:lineRule="auto"/>
              <w:rPr>
                <w:rFonts w:ascii="Calibri" w:eastAsia="Calibri" w:hAnsi="Calibri" w:cs="Times New Roman"/>
              </w:rPr>
            </w:pPr>
            <w:r w:rsidRPr="005E7ED8">
              <w:rPr>
                <w:rFonts w:ascii="Calibri" w:eastAsia="Calibri" w:hAnsi="Calibri" w:cs="Times New Roman"/>
              </w:rPr>
              <w:t>Pré</w:t>
            </w:r>
            <w:r>
              <w:rPr>
                <w:rFonts w:ascii="Calibri" w:eastAsia="Calibri" w:hAnsi="Calibri" w:cs="Times New Roman"/>
              </w:rPr>
              <w:t>s</w:t>
            </w:r>
            <w:r w:rsidRPr="005E7ED8">
              <w:rPr>
                <w:rFonts w:ascii="Calibri" w:eastAsia="Calibri" w:hAnsi="Calibri" w:cs="Times New Roman"/>
              </w:rPr>
              <w:t>ervation des forêts et les fonctions associées</w:t>
            </w:r>
          </w:p>
          <w:p w14:paraId="4FEBEB89" w14:textId="77777777" w:rsidR="004B5DE6" w:rsidRDefault="004B5DE6" w:rsidP="00863AD4">
            <w:pPr>
              <w:spacing w:line="360" w:lineRule="auto"/>
            </w:pPr>
          </w:p>
        </w:tc>
        <w:tc>
          <w:tcPr>
            <w:tcW w:w="2552" w:type="dxa"/>
          </w:tcPr>
          <w:p w14:paraId="28B7D5AB" w14:textId="77777777" w:rsidR="004B5DE6" w:rsidRDefault="004B5DE6" w:rsidP="00863AD4">
            <w:pPr>
              <w:spacing w:line="360" w:lineRule="auto"/>
            </w:pPr>
          </w:p>
        </w:tc>
        <w:tc>
          <w:tcPr>
            <w:tcW w:w="2409" w:type="dxa"/>
          </w:tcPr>
          <w:p w14:paraId="2F8CB978" w14:textId="77777777" w:rsidR="004B5DE6" w:rsidRDefault="004B5DE6" w:rsidP="00863AD4">
            <w:pPr>
              <w:spacing w:line="360" w:lineRule="auto"/>
            </w:pPr>
          </w:p>
        </w:tc>
      </w:tr>
      <w:tr w:rsidR="004B5DE6" w14:paraId="08B3FCD5" w14:textId="77777777" w:rsidTr="00817438">
        <w:tc>
          <w:tcPr>
            <w:tcW w:w="3964" w:type="dxa"/>
          </w:tcPr>
          <w:p w14:paraId="47AB30E5" w14:textId="77777777" w:rsidR="004B5DE6" w:rsidRDefault="004B5DE6" w:rsidP="00863AD4">
            <w:pPr>
              <w:spacing w:line="360" w:lineRule="auto"/>
            </w:pPr>
            <w:r w:rsidRPr="00EE0147">
              <w:t>Pourcentage moyen de production de charbon de bois par type de technique de carbonisation</w:t>
            </w:r>
          </w:p>
        </w:tc>
        <w:tc>
          <w:tcPr>
            <w:tcW w:w="2410" w:type="dxa"/>
          </w:tcPr>
          <w:p w14:paraId="0D7FA7C6" w14:textId="77777777" w:rsidR="004B5DE6" w:rsidRDefault="004B5DE6" w:rsidP="00863AD4">
            <w:pPr>
              <w:spacing w:line="360" w:lineRule="auto"/>
            </w:pPr>
            <w:r>
              <w:t>Evolution de l’adoption de carbonisation améliorée</w:t>
            </w:r>
          </w:p>
        </w:tc>
        <w:tc>
          <w:tcPr>
            <w:tcW w:w="2551" w:type="dxa"/>
          </w:tcPr>
          <w:p w14:paraId="7553FD97" w14:textId="77777777" w:rsidR="004B5DE6" w:rsidRDefault="004B5DE6" w:rsidP="00863AD4">
            <w:pPr>
              <w:spacing w:line="360" w:lineRule="auto"/>
            </w:pPr>
            <w:r w:rsidRPr="005E7ED8">
              <w:rPr>
                <w:rFonts w:ascii="Calibri" w:eastAsia="Calibri" w:hAnsi="Calibri" w:cs="Times New Roman"/>
              </w:rPr>
              <w:t>Pré</w:t>
            </w:r>
            <w:r>
              <w:rPr>
                <w:rFonts w:ascii="Calibri" w:eastAsia="Calibri" w:hAnsi="Calibri" w:cs="Times New Roman"/>
              </w:rPr>
              <w:t>s</w:t>
            </w:r>
            <w:r w:rsidRPr="005E7ED8">
              <w:rPr>
                <w:rFonts w:ascii="Calibri" w:eastAsia="Calibri" w:hAnsi="Calibri" w:cs="Times New Roman"/>
              </w:rPr>
              <w:t>ervation des forêts et les fonctions associées</w:t>
            </w:r>
          </w:p>
        </w:tc>
        <w:tc>
          <w:tcPr>
            <w:tcW w:w="2552" w:type="dxa"/>
          </w:tcPr>
          <w:p w14:paraId="32347F92" w14:textId="77777777" w:rsidR="004B5DE6" w:rsidRDefault="004B5DE6" w:rsidP="00863AD4">
            <w:pPr>
              <w:spacing w:line="360" w:lineRule="auto"/>
            </w:pPr>
          </w:p>
        </w:tc>
        <w:tc>
          <w:tcPr>
            <w:tcW w:w="2409" w:type="dxa"/>
          </w:tcPr>
          <w:p w14:paraId="230EC54E" w14:textId="77777777" w:rsidR="004B5DE6" w:rsidRDefault="004B5DE6" w:rsidP="00863AD4">
            <w:pPr>
              <w:spacing w:line="360" w:lineRule="auto"/>
            </w:pPr>
          </w:p>
        </w:tc>
      </w:tr>
      <w:tr w:rsidR="004B5DE6" w14:paraId="32848574" w14:textId="77777777" w:rsidTr="00817438">
        <w:trPr>
          <w:trHeight w:val="1108"/>
        </w:trPr>
        <w:tc>
          <w:tcPr>
            <w:tcW w:w="3964" w:type="dxa"/>
            <w:vMerge w:val="restart"/>
          </w:tcPr>
          <w:p w14:paraId="7BF73365" w14:textId="77777777" w:rsidR="004B5DE6" w:rsidRDefault="004B5DE6" w:rsidP="00863AD4">
            <w:pPr>
              <w:spacing w:line="360" w:lineRule="auto"/>
            </w:pPr>
            <w:r w:rsidRPr="00EE0147">
              <w:t>Nombre des opérateurs formels en bois énergie</w:t>
            </w:r>
          </w:p>
        </w:tc>
        <w:tc>
          <w:tcPr>
            <w:tcW w:w="2410" w:type="dxa"/>
            <w:vMerge w:val="restart"/>
          </w:tcPr>
          <w:p w14:paraId="557B967C" w14:textId="77777777" w:rsidR="004B5DE6" w:rsidRDefault="004B5DE6" w:rsidP="00863AD4">
            <w:pPr>
              <w:spacing w:line="360" w:lineRule="auto"/>
            </w:pPr>
          </w:p>
        </w:tc>
        <w:tc>
          <w:tcPr>
            <w:tcW w:w="2551" w:type="dxa"/>
            <w:vMerge w:val="restart"/>
          </w:tcPr>
          <w:p w14:paraId="0149095D" w14:textId="77777777" w:rsidR="004B5DE6" w:rsidRDefault="004B5DE6" w:rsidP="00863AD4">
            <w:pPr>
              <w:spacing w:line="360" w:lineRule="auto"/>
            </w:pPr>
          </w:p>
        </w:tc>
        <w:tc>
          <w:tcPr>
            <w:tcW w:w="2552" w:type="dxa"/>
          </w:tcPr>
          <w:p w14:paraId="69F8E0FE" w14:textId="77777777" w:rsidR="004B5DE6" w:rsidRPr="00997525" w:rsidRDefault="004B5DE6" w:rsidP="00863AD4">
            <w:pPr>
              <w:spacing w:line="360" w:lineRule="auto"/>
            </w:pPr>
            <w:r w:rsidRPr="00997525">
              <w:t>Approvisionnement durable en</w:t>
            </w:r>
          </w:p>
          <w:p w14:paraId="0BDC5090" w14:textId="77777777" w:rsidR="004B5DE6" w:rsidRDefault="004B5DE6" w:rsidP="00863AD4">
            <w:pPr>
              <w:spacing w:line="360" w:lineRule="auto"/>
            </w:pPr>
            <w:r w:rsidRPr="00997525">
              <w:t xml:space="preserve">Bois énergie </w:t>
            </w:r>
          </w:p>
        </w:tc>
        <w:tc>
          <w:tcPr>
            <w:tcW w:w="2409" w:type="dxa"/>
            <w:vMerge w:val="restart"/>
          </w:tcPr>
          <w:p w14:paraId="1E0B4C8D" w14:textId="77777777" w:rsidR="004B5DE6" w:rsidRDefault="004B5DE6" w:rsidP="00863AD4">
            <w:pPr>
              <w:spacing w:line="360" w:lineRule="auto"/>
            </w:pPr>
            <w:r w:rsidRPr="005E7ED8">
              <w:t>Intégration des acteurs de la filière Bois Energie dans le système légal</w:t>
            </w:r>
          </w:p>
        </w:tc>
      </w:tr>
      <w:tr w:rsidR="004B5DE6" w14:paraId="14C66483" w14:textId="77777777" w:rsidTr="00817438">
        <w:trPr>
          <w:trHeight w:val="403"/>
        </w:trPr>
        <w:tc>
          <w:tcPr>
            <w:tcW w:w="3964" w:type="dxa"/>
            <w:vMerge/>
          </w:tcPr>
          <w:p w14:paraId="210090E1" w14:textId="77777777" w:rsidR="004B5DE6" w:rsidRPr="00EE0147" w:rsidRDefault="004B5DE6" w:rsidP="00863AD4">
            <w:pPr>
              <w:spacing w:line="360" w:lineRule="auto"/>
            </w:pPr>
          </w:p>
        </w:tc>
        <w:tc>
          <w:tcPr>
            <w:tcW w:w="2410" w:type="dxa"/>
            <w:vMerge/>
          </w:tcPr>
          <w:p w14:paraId="2DC2C422" w14:textId="77777777" w:rsidR="004B5DE6" w:rsidRDefault="004B5DE6" w:rsidP="00863AD4">
            <w:pPr>
              <w:spacing w:line="360" w:lineRule="auto"/>
            </w:pPr>
          </w:p>
        </w:tc>
        <w:tc>
          <w:tcPr>
            <w:tcW w:w="2551" w:type="dxa"/>
            <w:vMerge/>
          </w:tcPr>
          <w:p w14:paraId="23EB0F44" w14:textId="77777777" w:rsidR="004B5DE6" w:rsidRDefault="004B5DE6" w:rsidP="00863AD4">
            <w:pPr>
              <w:spacing w:line="360" w:lineRule="auto"/>
            </w:pPr>
          </w:p>
        </w:tc>
        <w:tc>
          <w:tcPr>
            <w:tcW w:w="2552" w:type="dxa"/>
            <w:vMerge w:val="restart"/>
            <w:vAlign w:val="center"/>
          </w:tcPr>
          <w:p w14:paraId="0BB55F0D" w14:textId="77777777" w:rsidR="004B5DE6" w:rsidRPr="00997525" w:rsidRDefault="004B5DE6" w:rsidP="00863AD4">
            <w:pPr>
              <w:spacing w:line="360" w:lineRule="auto"/>
            </w:pPr>
            <w:r w:rsidRPr="00302456">
              <w:t>Création d’une dynamique économique locale</w:t>
            </w:r>
          </w:p>
        </w:tc>
        <w:tc>
          <w:tcPr>
            <w:tcW w:w="2409" w:type="dxa"/>
            <w:vMerge/>
          </w:tcPr>
          <w:p w14:paraId="480C23CE" w14:textId="77777777" w:rsidR="004B5DE6" w:rsidRPr="005E7ED8" w:rsidRDefault="004B5DE6" w:rsidP="00863AD4">
            <w:pPr>
              <w:spacing w:line="360" w:lineRule="auto"/>
            </w:pPr>
          </w:p>
        </w:tc>
      </w:tr>
      <w:tr w:rsidR="004B5DE6" w14:paraId="2BBDB4A1" w14:textId="77777777" w:rsidTr="00817438">
        <w:tc>
          <w:tcPr>
            <w:tcW w:w="3964" w:type="dxa"/>
          </w:tcPr>
          <w:p w14:paraId="1A0AC4CB" w14:textId="77777777" w:rsidR="004B5DE6" w:rsidRDefault="004B5DE6" w:rsidP="00863AD4">
            <w:pPr>
              <w:spacing w:line="360" w:lineRule="auto"/>
            </w:pPr>
            <w:r w:rsidRPr="00EE0147">
              <w:t>Prix moyen d’achat des différents types de produits bois énergie selon les opérateurs</w:t>
            </w:r>
          </w:p>
        </w:tc>
        <w:tc>
          <w:tcPr>
            <w:tcW w:w="2410" w:type="dxa"/>
          </w:tcPr>
          <w:p w14:paraId="2A2C5300" w14:textId="77777777" w:rsidR="004B5DE6" w:rsidRDefault="004B5DE6" w:rsidP="00863AD4">
            <w:pPr>
              <w:spacing w:line="360" w:lineRule="auto"/>
            </w:pPr>
          </w:p>
        </w:tc>
        <w:tc>
          <w:tcPr>
            <w:tcW w:w="2551" w:type="dxa"/>
          </w:tcPr>
          <w:p w14:paraId="0178E3C5" w14:textId="77777777" w:rsidR="004B5DE6" w:rsidRDefault="004B5DE6" w:rsidP="00863AD4">
            <w:pPr>
              <w:spacing w:line="360" w:lineRule="auto"/>
            </w:pPr>
          </w:p>
        </w:tc>
        <w:tc>
          <w:tcPr>
            <w:tcW w:w="2552" w:type="dxa"/>
            <w:vMerge/>
          </w:tcPr>
          <w:p w14:paraId="15C6BBF5" w14:textId="77777777" w:rsidR="004B5DE6" w:rsidRDefault="004B5DE6" w:rsidP="00863AD4">
            <w:pPr>
              <w:spacing w:line="360" w:lineRule="auto"/>
            </w:pPr>
          </w:p>
        </w:tc>
        <w:tc>
          <w:tcPr>
            <w:tcW w:w="2409" w:type="dxa"/>
          </w:tcPr>
          <w:p w14:paraId="0425731C" w14:textId="77777777" w:rsidR="004B5DE6" w:rsidRDefault="004B5DE6" w:rsidP="00863AD4">
            <w:pPr>
              <w:spacing w:line="360" w:lineRule="auto"/>
            </w:pPr>
          </w:p>
        </w:tc>
      </w:tr>
      <w:tr w:rsidR="004B5DE6" w14:paraId="3BFFB4F2" w14:textId="77777777" w:rsidTr="00817438">
        <w:tc>
          <w:tcPr>
            <w:tcW w:w="3964" w:type="dxa"/>
          </w:tcPr>
          <w:p w14:paraId="27C75035" w14:textId="77777777" w:rsidR="004B5DE6" w:rsidRDefault="004B5DE6" w:rsidP="00863AD4">
            <w:pPr>
              <w:spacing w:line="360" w:lineRule="auto"/>
            </w:pPr>
            <w:r w:rsidRPr="00EE0147">
              <w:t>Montant total de taxes perçues relatives aux activités liées au bois énergie</w:t>
            </w:r>
          </w:p>
        </w:tc>
        <w:tc>
          <w:tcPr>
            <w:tcW w:w="2410" w:type="dxa"/>
          </w:tcPr>
          <w:p w14:paraId="245CB691" w14:textId="77777777" w:rsidR="004B5DE6" w:rsidRDefault="004B5DE6" w:rsidP="00863AD4">
            <w:pPr>
              <w:spacing w:line="360" w:lineRule="auto"/>
            </w:pPr>
          </w:p>
        </w:tc>
        <w:tc>
          <w:tcPr>
            <w:tcW w:w="2551" w:type="dxa"/>
          </w:tcPr>
          <w:p w14:paraId="13D4A871" w14:textId="77777777" w:rsidR="004B5DE6" w:rsidRDefault="004B5DE6" w:rsidP="00863AD4">
            <w:pPr>
              <w:spacing w:line="360" w:lineRule="auto"/>
            </w:pPr>
          </w:p>
        </w:tc>
        <w:tc>
          <w:tcPr>
            <w:tcW w:w="2552" w:type="dxa"/>
          </w:tcPr>
          <w:p w14:paraId="604EA505" w14:textId="77777777" w:rsidR="004B5DE6" w:rsidRDefault="004B5DE6" w:rsidP="00863AD4">
            <w:pPr>
              <w:spacing w:line="360" w:lineRule="auto"/>
            </w:pPr>
            <w:r>
              <w:t>R</w:t>
            </w:r>
            <w:r w:rsidRPr="006721C2">
              <w:t>enforcement de la perception des ristournes</w:t>
            </w:r>
            <w:r>
              <w:t xml:space="preserve"> et des redevances forestières</w:t>
            </w:r>
          </w:p>
        </w:tc>
        <w:tc>
          <w:tcPr>
            <w:tcW w:w="2409" w:type="dxa"/>
          </w:tcPr>
          <w:p w14:paraId="441D8838" w14:textId="77777777" w:rsidR="004B5DE6" w:rsidRDefault="004B5DE6" w:rsidP="00863AD4">
            <w:pPr>
              <w:spacing w:line="360" w:lineRule="auto"/>
            </w:pPr>
            <w:bookmarkStart w:id="6" w:name="_Hlk73364562"/>
            <w:r w:rsidRPr="006721C2">
              <w:t>Règlementation de la filière Bois Energie</w:t>
            </w:r>
            <w:bookmarkEnd w:id="6"/>
          </w:p>
        </w:tc>
      </w:tr>
      <w:tr w:rsidR="004B5DE6" w14:paraId="2E7C9B07" w14:textId="77777777" w:rsidTr="00817438">
        <w:tc>
          <w:tcPr>
            <w:tcW w:w="3964" w:type="dxa"/>
          </w:tcPr>
          <w:p w14:paraId="5BCD7144" w14:textId="77777777" w:rsidR="004B5DE6" w:rsidRDefault="004B5DE6" w:rsidP="00863AD4">
            <w:pPr>
              <w:spacing w:line="360" w:lineRule="auto"/>
            </w:pPr>
            <w:r w:rsidRPr="00EE0147">
              <w:lastRenderedPageBreak/>
              <w:t>Taux de produits bois énergie illégaux saisis</w:t>
            </w:r>
          </w:p>
        </w:tc>
        <w:tc>
          <w:tcPr>
            <w:tcW w:w="2410" w:type="dxa"/>
          </w:tcPr>
          <w:p w14:paraId="737F373C" w14:textId="77777777" w:rsidR="004B5DE6" w:rsidRDefault="004B5DE6" w:rsidP="00863AD4">
            <w:pPr>
              <w:spacing w:line="360" w:lineRule="auto"/>
            </w:pPr>
          </w:p>
        </w:tc>
        <w:tc>
          <w:tcPr>
            <w:tcW w:w="2551" w:type="dxa"/>
          </w:tcPr>
          <w:p w14:paraId="7276EA76" w14:textId="77777777" w:rsidR="004B5DE6" w:rsidRDefault="004B5DE6" w:rsidP="00863AD4">
            <w:pPr>
              <w:spacing w:line="360" w:lineRule="auto"/>
            </w:pPr>
            <w:r w:rsidRPr="006721C2">
              <w:t>Préservation de l’environnement naturel</w:t>
            </w:r>
          </w:p>
        </w:tc>
        <w:tc>
          <w:tcPr>
            <w:tcW w:w="2552" w:type="dxa"/>
          </w:tcPr>
          <w:p w14:paraId="570D9FD6" w14:textId="77777777" w:rsidR="004B5DE6" w:rsidRDefault="004B5DE6" w:rsidP="00863AD4">
            <w:pPr>
              <w:spacing w:line="360" w:lineRule="auto"/>
            </w:pPr>
          </w:p>
        </w:tc>
        <w:tc>
          <w:tcPr>
            <w:tcW w:w="2409" w:type="dxa"/>
          </w:tcPr>
          <w:p w14:paraId="40B9AF08" w14:textId="77777777" w:rsidR="004B5DE6" w:rsidRDefault="004B5DE6" w:rsidP="00863AD4">
            <w:pPr>
              <w:spacing w:line="360" w:lineRule="auto"/>
            </w:pPr>
            <w:r w:rsidRPr="005E7ED8">
              <w:t>Gouvernance de la filière</w:t>
            </w:r>
          </w:p>
        </w:tc>
      </w:tr>
      <w:tr w:rsidR="004B5DE6" w14:paraId="2A5B59A8" w14:textId="77777777" w:rsidTr="00817438">
        <w:tc>
          <w:tcPr>
            <w:tcW w:w="3964" w:type="dxa"/>
          </w:tcPr>
          <w:p w14:paraId="7D541C34" w14:textId="77777777" w:rsidR="004B5DE6" w:rsidRDefault="004B5DE6" w:rsidP="00863AD4">
            <w:pPr>
              <w:spacing w:line="360" w:lineRule="auto"/>
            </w:pPr>
            <w:r w:rsidRPr="00EE0147">
              <w:t>Quantité des différents types de produits bois énergie en circulation</w:t>
            </w:r>
          </w:p>
        </w:tc>
        <w:tc>
          <w:tcPr>
            <w:tcW w:w="2410" w:type="dxa"/>
          </w:tcPr>
          <w:p w14:paraId="1ECAEDBB" w14:textId="77777777" w:rsidR="004B5DE6" w:rsidRPr="00997525" w:rsidRDefault="004B5DE6" w:rsidP="00863AD4">
            <w:pPr>
              <w:spacing w:line="360" w:lineRule="auto"/>
            </w:pPr>
            <w:r w:rsidRPr="00997525">
              <w:t>Approvisionnement durable en</w:t>
            </w:r>
          </w:p>
          <w:p w14:paraId="6A0ED5B4" w14:textId="77777777" w:rsidR="004B5DE6" w:rsidRDefault="004B5DE6" w:rsidP="00863AD4">
            <w:pPr>
              <w:spacing w:line="360" w:lineRule="auto"/>
            </w:pPr>
            <w:r w:rsidRPr="00997525">
              <w:t>Bois énergie</w:t>
            </w:r>
          </w:p>
        </w:tc>
        <w:tc>
          <w:tcPr>
            <w:tcW w:w="2551" w:type="dxa"/>
          </w:tcPr>
          <w:p w14:paraId="56295220" w14:textId="77777777" w:rsidR="004B5DE6" w:rsidRDefault="004B5DE6" w:rsidP="00863AD4">
            <w:pPr>
              <w:spacing w:line="360" w:lineRule="auto"/>
            </w:pPr>
          </w:p>
        </w:tc>
        <w:tc>
          <w:tcPr>
            <w:tcW w:w="2552" w:type="dxa"/>
          </w:tcPr>
          <w:p w14:paraId="0A407982" w14:textId="77777777" w:rsidR="004B5DE6" w:rsidRDefault="004B5DE6" w:rsidP="00863AD4">
            <w:pPr>
              <w:spacing w:line="360" w:lineRule="auto"/>
            </w:pPr>
          </w:p>
        </w:tc>
        <w:tc>
          <w:tcPr>
            <w:tcW w:w="2409" w:type="dxa"/>
          </w:tcPr>
          <w:p w14:paraId="66822892" w14:textId="77777777" w:rsidR="004B5DE6" w:rsidRDefault="004B5DE6" w:rsidP="00863AD4">
            <w:pPr>
              <w:spacing w:line="360" w:lineRule="auto"/>
            </w:pPr>
          </w:p>
        </w:tc>
      </w:tr>
      <w:tr w:rsidR="004B5DE6" w14:paraId="289C8F2D" w14:textId="77777777" w:rsidTr="00817438">
        <w:tc>
          <w:tcPr>
            <w:tcW w:w="3964" w:type="dxa"/>
          </w:tcPr>
          <w:p w14:paraId="0D8B5C19" w14:textId="77777777" w:rsidR="004B5DE6" w:rsidRDefault="004B5DE6" w:rsidP="00863AD4">
            <w:pPr>
              <w:spacing w:line="360" w:lineRule="auto"/>
            </w:pPr>
            <w:r w:rsidRPr="00CE01E7">
              <w:t>Taux moyen d’utilisation des différents types d’équipement de cuisson</w:t>
            </w:r>
          </w:p>
        </w:tc>
        <w:tc>
          <w:tcPr>
            <w:tcW w:w="2410" w:type="dxa"/>
          </w:tcPr>
          <w:p w14:paraId="3658EB4C" w14:textId="77777777" w:rsidR="004B5DE6" w:rsidRDefault="004B5DE6" w:rsidP="00863AD4">
            <w:pPr>
              <w:spacing w:line="360" w:lineRule="auto"/>
            </w:pPr>
          </w:p>
        </w:tc>
        <w:tc>
          <w:tcPr>
            <w:tcW w:w="2551" w:type="dxa"/>
          </w:tcPr>
          <w:p w14:paraId="0C478FA4" w14:textId="77777777" w:rsidR="004B5DE6" w:rsidRDefault="004B5DE6" w:rsidP="00863AD4">
            <w:pPr>
              <w:spacing w:line="360" w:lineRule="auto"/>
            </w:pPr>
            <w:r>
              <w:t xml:space="preserve">Diminution de pressions sur les forêts </w:t>
            </w:r>
          </w:p>
        </w:tc>
        <w:tc>
          <w:tcPr>
            <w:tcW w:w="2552" w:type="dxa"/>
          </w:tcPr>
          <w:p w14:paraId="305E2F91" w14:textId="77777777" w:rsidR="004B5DE6" w:rsidRDefault="004B5DE6" w:rsidP="00863AD4">
            <w:pPr>
              <w:spacing w:line="360" w:lineRule="auto"/>
            </w:pPr>
          </w:p>
        </w:tc>
        <w:tc>
          <w:tcPr>
            <w:tcW w:w="2409" w:type="dxa"/>
          </w:tcPr>
          <w:p w14:paraId="28538EDD" w14:textId="77777777" w:rsidR="004B5DE6" w:rsidRDefault="004B5DE6" w:rsidP="00863AD4">
            <w:pPr>
              <w:spacing w:line="360" w:lineRule="auto"/>
            </w:pPr>
          </w:p>
        </w:tc>
      </w:tr>
      <w:tr w:rsidR="004B5DE6" w14:paraId="44E63F77" w14:textId="77777777" w:rsidTr="00817438">
        <w:tc>
          <w:tcPr>
            <w:tcW w:w="3964" w:type="dxa"/>
          </w:tcPr>
          <w:p w14:paraId="192D717D" w14:textId="77777777" w:rsidR="004B5DE6" w:rsidRDefault="004B5DE6" w:rsidP="00863AD4">
            <w:pPr>
              <w:spacing w:line="360" w:lineRule="auto"/>
            </w:pPr>
            <w:r w:rsidRPr="007910B4">
              <w:t>Quantité totale annuelle consommée en bois énergie</w:t>
            </w:r>
          </w:p>
        </w:tc>
        <w:tc>
          <w:tcPr>
            <w:tcW w:w="2410" w:type="dxa"/>
          </w:tcPr>
          <w:p w14:paraId="7F678E77" w14:textId="77777777" w:rsidR="004B5DE6" w:rsidRDefault="004B5DE6" w:rsidP="00863AD4">
            <w:pPr>
              <w:spacing w:line="360" w:lineRule="auto"/>
            </w:pPr>
          </w:p>
        </w:tc>
        <w:tc>
          <w:tcPr>
            <w:tcW w:w="2551" w:type="dxa"/>
          </w:tcPr>
          <w:p w14:paraId="42D16510" w14:textId="77777777" w:rsidR="004B5DE6" w:rsidRDefault="004B5DE6" w:rsidP="00863AD4">
            <w:pPr>
              <w:spacing w:line="360" w:lineRule="auto"/>
            </w:pPr>
            <w:r w:rsidRPr="005E7ED8">
              <w:rPr>
                <w:rFonts w:ascii="Calibri" w:eastAsia="Calibri" w:hAnsi="Calibri" w:cs="Times New Roman"/>
              </w:rPr>
              <w:t>Préservation des forêts et les fonctions associées</w:t>
            </w:r>
          </w:p>
        </w:tc>
        <w:tc>
          <w:tcPr>
            <w:tcW w:w="2552" w:type="dxa"/>
          </w:tcPr>
          <w:p w14:paraId="761EFE23" w14:textId="77777777" w:rsidR="004B5DE6" w:rsidRDefault="004B5DE6" w:rsidP="00863AD4">
            <w:pPr>
              <w:spacing w:line="360" w:lineRule="auto"/>
            </w:pPr>
          </w:p>
        </w:tc>
        <w:tc>
          <w:tcPr>
            <w:tcW w:w="2409" w:type="dxa"/>
          </w:tcPr>
          <w:p w14:paraId="1E087110" w14:textId="77777777" w:rsidR="004B5DE6" w:rsidRDefault="004B5DE6" w:rsidP="00863AD4">
            <w:pPr>
              <w:spacing w:line="360" w:lineRule="auto"/>
            </w:pPr>
          </w:p>
        </w:tc>
      </w:tr>
      <w:tr w:rsidR="004B5DE6" w14:paraId="4D17195F" w14:textId="77777777" w:rsidTr="00817438">
        <w:tc>
          <w:tcPr>
            <w:tcW w:w="3964" w:type="dxa"/>
          </w:tcPr>
          <w:p w14:paraId="501D8B1A" w14:textId="77777777" w:rsidR="004B5DE6" w:rsidRDefault="004B5DE6" w:rsidP="00863AD4">
            <w:pPr>
              <w:spacing w:line="360" w:lineRule="auto"/>
            </w:pPr>
            <w:r w:rsidRPr="00B70850">
              <w:t>Dépenses moyennes annuelles par type de bois énergie</w:t>
            </w:r>
          </w:p>
        </w:tc>
        <w:tc>
          <w:tcPr>
            <w:tcW w:w="2410" w:type="dxa"/>
          </w:tcPr>
          <w:p w14:paraId="186E3A3E" w14:textId="77777777" w:rsidR="004B5DE6" w:rsidRDefault="004B5DE6" w:rsidP="00863AD4">
            <w:pPr>
              <w:spacing w:line="360" w:lineRule="auto"/>
            </w:pPr>
          </w:p>
        </w:tc>
        <w:tc>
          <w:tcPr>
            <w:tcW w:w="2551" w:type="dxa"/>
          </w:tcPr>
          <w:p w14:paraId="57BD0F2D" w14:textId="77777777" w:rsidR="004B5DE6" w:rsidRDefault="004B5DE6" w:rsidP="00863AD4">
            <w:pPr>
              <w:spacing w:line="360" w:lineRule="auto"/>
            </w:pPr>
          </w:p>
        </w:tc>
        <w:tc>
          <w:tcPr>
            <w:tcW w:w="2552" w:type="dxa"/>
          </w:tcPr>
          <w:p w14:paraId="0AFC0319" w14:textId="77777777" w:rsidR="004B5DE6" w:rsidRDefault="004B5DE6" w:rsidP="00863AD4">
            <w:pPr>
              <w:spacing w:line="360" w:lineRule="auto"/>
            </w:pPr>
            <w:r w:rsidRPr="00302456">
              <w:t>Création d’une dynamique économique locale</w:t>
            </w:r>
          </w:p>
        </w:tc>
        <w:tc>
          <w:tcPr>
            <w:tcW w:w="2409" w:type="dxa"/>
          </w:tcPr>
          <w:p w14:paraId="010F9015" w14:textId="77777777" w:rsidR="004B5DE6" w:rsidRDefault="004B5DE6" w:rsidP="00863AD4">
            <w:pPr>
              <w:spacing w:line="360" w:lineRule="auto"/>
            </w:pPr>
          </w:p>
        </w:tc>
      </w:tr>
      <w:tr w:rsidR="004B5DE6" w14:paraId="65480474" w14:textId="77777777" w:rsidTr="00817438">
        <w:tc>
          <w:tcPr>
            <w:tcW w:w="3964" w:type="dxa"/>
          </w:tcPr>
          <w:p w14:paraId="0A351DA5" w14:textId="77777777" w:rsidR="004B5DE6" w:rsidRDefault="004B5DE6" w:rsidP="00863AD4">
            <w:pPr>
              <w:spacing w:line="360" w:lineRule="auto"/>
            </w:pPr>
            <w:r w:rsidRPr="00B70850">
              <w:t>Taux de personnes touchées par des maladies causées par l’utilisation de bois énergie</w:t>
            </w:r>
          </w:p>
        </w:tc>
        <w:tc>
          <w:tcPr>
            <w:tcW w:w="2410" w:type="dxa"/>
          </w:tcPr>
          <w:p w14:paraId="32BEF080" w14:textId="77777777" w:rsidR="004B5DE6" w:rsidRPr="005E7ED8" w:rsidRDefault="004B5DE6" w:rsidP="00863AD4">
            <w:pPr>
              <w:spacing w:line="360" w:lineRule="auto"/>
              <w:rPr>
                <w:rFonts w:ascii="Calibri" w:eastAsia="Calibri" w:hAnsi="Calibri" w:cs="Times New Roman"/>
              </w:rPr>
            </w:pPr>
            <w:r w:rsidRPr="005E7ED8">
              <w:rPr>
                <w:rFonts w:ascii="Calibri" w:eastAsia="Calibri" w:hAnsi="Calibri" w:cs="Times New Roman"/>
              </w:rPr>
              <w:t xml:space="preserve">Amélioration de la santé </w:t>
            </w:r>
          </w:p>
          <w:p w14:paraId="621D22C2" w14:textId="77777777" w:rsidR="004B5DE6" w:rsidRDefault="004B5DE6" w:rsidP="00863AD4">
            <w:pPr>
              <w:spacing w:line="360" w:lineRule="auto"/>
            </w:pPr>
          </w:p>
        </w:tc>
        <w:tc>
          <w:tcPr>
            <w:tcW w:w="2551" w:type="dxa"/>
          </w:tcPr>
          <w:p w14:paraId="12CB5887" w14:textId="77777777" w:rsidR="004B5DE6" w:rsidRDefault="004B5DE6" w:rsidP="00863AD4">
            <w:pPr>
              <w:spacing w:line="360" w:lineRule="auto"/>
            </w:pPr>
          </w:p>
        </w:tc>
        <w:tc>
          <w:tcPr>
            <w:tcW w:w="2552" w:type="dxa"/>
          </w:tcPr>
          <w:p w14:paraId="1E0FE3AD" w14:textId="77777777" w:rsidR="004B5DE6" w:rsidRDefault="004B5DE6" w:rsidP="00863AD4">
            <w:pPr>
              <w:spacing w:line="360" w:lineRule="auto"/>
            </w:pPr>
          </w:p>
        </w:tc>
        <w:tc>
          <w:tcPr>
            <w:tcW w:w="2409" w:type="dxa"/>
          </w:tcPr>
          <w:p w14:paraId="629E12E7" w14:textId="77777777" w:rsidR="004B5DE6" w:rsidRDefault="004B5DE6" w:rsidP="00863AD4">
            <w:pPr>
              <w:spacing w:line="360" w:lineRule="auto"/>
            </w:pPr>
          </w:p>
        </w:tc>
      </w:tr>
      <w:tr w:rsidR="004B5DE6" w14:paraId="61FDD9C0" w14:textId="77777777" w:rsidTr="00817438">
        <w:tc>
          <w:tcPr>
            <w:tcW w:w="3964" w:type="dxa"/>
          </w:tcPr>
          <w:p w14:paraId="16DFBC7F" w14:textId="77777777" w:rsidR="004B5DE6" w:rsidRDefault="004B5DE6" w:rsidP="00863AD4">
            <w:pPr>
              <w:spacing w:line="360" w:lineRule="auto"/>
            </w:pPr>
            <w:r w:rsidRPr="00B70850">
              <w:t>Quantité totale d’énergie de cuisson alternative consommée</w:t>
            </w:r>
          </w:p>
        </w:tc>
        <w:tc>
          <w:tcPr>
            <w:tcW w:w="2410" w:type="dxa"/>
          </w:tcPr>
          <w:p w14:paraId="204F0C43" w14:textId="77777777" w:rsidR="004B5DE6" w:rsidRDefault="004B5DE6" w:rsidP="00863AD4">
            <w:pPr>
              <w:spacing w:line="360" w:lineRule="auto"/>
            </w:pPr>
          </w:p>
        </w:tc>
        <w:tc>
          <w:tcPr>
            <w:tcW w:w="2551" w:type="dxa"/>
          </w:tcPr>
          <w:p w14:paraId="13961BB1" w14:textId="77777777" w:rsidR="004B5DE6" w:rsidRDefault="004B5DE6" w:rsidP="00863AD4">
            <w:pPr>
              <w:spacing w:line="360" w:lineRule="auto"/>
            </w:pPr>
          </w:p>
        </w:tc>
        <w:tc>
          <w:tcPr>
            <w:tcW w:w="2552" w:type="dxa"/>
            <w:vMerge w:val="restart"/>
          </w:tcPr>
          <w:p w14:paraId="00B1155E" w14:textId="77777777" w:rsidR="004B5DE6" w:rsidRDefault="004B5DE6" w:rsidP="00863AD4">
            <w:pPr>
              <w:spacing w:line="360" w:lineRule="auto"/>
            </w:pPr>
            <w:r>
              <w:t xml:space="preserve">Diminution </w:t>
            </w:r>
            <w:r w:rsidRPr="005E7ED8">
              <w:t xml:space="preserve">de la consommation en bois énergie par les </w:t>
            </w:r>
            <w:r w:rsidRPr="005204B9">
              <w:t>alternatives ou équipements autres que traditionnels</w:t>
            </w:r>
          </w:p>
        </w:tc>
        <w:tc>
          <w:tcPr>
            <w:tcW w:w="2409" w:type="dxa"/>
          </w:tcPr>
          <w:p w14:paraId="248D763D" w14:textId="77777777" w:rsidR="004B5DE6" w:rsidRDefault="004B5DE6" w:rsidP="00863AD4">
            <w:pPr>
              <w:spacing w:line="360" w:lineRule="auto"/>
            </w:pPr>
          </w:p>
        </w:tc>
      </w:tr>
      <w:tr w:rsidR="004B5DE6" w14:paraId="34361BF6" w14:textId="77777777" w:rsidTr="00817438">
        <w:tc>
          <w:tcPr>
            <w:tcW w:w="3964" w:type="dxa"/>
          </w:tcPr>
          <w:p w14:paraId="62978D0D" w14:textId="77777777" w:rsidR="004B5DE6" w:rsidRDefault="004B5DE6" w:rsidP="00863AD4">
            <w:pPr>
              <w:spacing w:line="360" w:lineRule="auto"/>
              <w:ind w:left="-82"/>
            </w:pPr>
            <w:r w:rsidRPr="00B70850">
              <w:t>Dépenses moyennes annuelles par type d’alternatives de cuisson</w:t>
            </w:r>
          </w:p>
        </w:tc>
        <w:tc>
          <w:tcPr>
            <w:tcW w:w="2410" w:type="dxa"/>
          </w:tcPr>
          <w:p w14:paraId="6B0B1C43" w14:textId="77777777" w:rsidR="004B5DE6" w:rsidRDefault="004B5DE6" w:rsidP="00863AD4">
            <w:pPr>
              <w:spacing w:line="360" w:lineRule="auto"/>
            </w:pPr>
          </w:p>
        </w:tc>
        <w:tc>
          <w:tcPr>
            <w:tcW w:w="2551" w:type="dxa"/>
          </w:tcPr>
          <w:p w14:paraId="24482FCD" w14:textId="77777777" w:rsidR="004B5DE6" w:rsidRDefault="004B5DE6" w:rsidP="00863AD4">
            <w:pPr>
              <w:spacing w:line="360" w:lineRule="auto"/>
            </w:pPr>
          </w:p>
        </w:tc>
        <w:tc>
          <w:tcPr>
            <w:tcW w:w="2552" w:type="dxa"/>
            <w:vMerge/>
          </w:tcPr>
          <w:p w14:paraId="005E8FE3" w14:textId="77777777" w:rsidR="004B5DE6" w:rsidRDefault="004B5DE6" w:rsidP="00863AD4">
            <w:pPr>
              <w:spacing w:line="360" w:lineRule="auto"/>
            </w:pPr>
          </w:p>
        </w:tc>
        <w:tc>
          <w:tcPr>
            <w:tcW w:w="2409" w:type="dxa"/>
          </w:tcPr>
          <w:p w14:paraId="46C2A4B9" w14:textId="77777777" w:rsidR="004B5DE6" w:rsidRDefault="004B5DE6" w:rsidP="00863AD4">
            <w:pPr>
              <w:spacing w:line="360" w:lineRule="auto"/>
            </w:pPr>
          </w:p>
        </w:tc>
      </w:tr>
    </w:tbl>
    <w:p w14:paraId="7288D112" w14:textId="27ADB562" w:rsidR="004B5DE6" w:rsidRPr="00996515" w:rsidRDefault="004B5DE6" w:rsidP="00863AD4">
      <w:pPr>
        <w:spacing w:line="360" w:lineRule="auto"/>
        <w:jc w:val="center"/>
        <w:sectPr w:rsidR="004B5DE6" w:rsidRPr="00996515" w:rsidSect="00556997">
          <w:headerReference w:type="default" r:id="rId14"/>
          <w:pgSz w:w="16838" w:h="11906" w:orient="landscape"/>
          <w:pgMar w:top="851" w:right="1417" w:bottom="1417" w:left="1417" w:header="708" w:footer="708" w:gutter="0"/>
          <w:cols w:space="708"/>
          <w:docGrid w:linePitch="360"/>
        </w:sectPr>
      </w:pPr>
    </w:p>
    <w:p w14:paraId="1645D983" w14:textId="49E365FF" w:rsidR="00F96011" w:rsidRPr="009E0008" w:rsidRDefault="00A92FDE" w:rsidP="00863AD4">
      <w:pPr>
        <w:pStyle w:val="Titre1"/>
        <w:numPr>
          <w:ilvl w:val="0"/>
          <w:numId w:val="9"/>
        </w:numPr>
        <w:spacing w:line="360" w:lineRule="auto"/>
        <w:rPr>
          <w:b/>
          <w:bCs/>
        </w:rPr>
      </w:pPr>
      <w:bookmarkStart w:id="7" w:name="_Toc75162448"/>
      <w:r w:rsidRPr="009E0008">
        <w:rPr>
          <w:b/>
          <w:bCs/>
        </w:rPr>
        <w:lastRenderedPageBreak/>
        <w:t>Fiches descriptives des indicateurs</w:t>
      </w:r>
      <w:bookmarkEnd w:id="7"/>
    </w:p>
    <w:p w14:paraId="00136F6E" w14:textId="77777777" w:rsidR="003F08F6" w:rsidRDefault="00F96011" w:rsidP="00863AD4">
      <w:pPr>
        <w:spacing w:line="360" w:lineRule="auto"/>
        <w:jc w:val="both"/>
        <w:rPr>
          <w:rFonts w:ascii="Calibri" w:eastAsia="Calibri" w:hAnsi="Calibri" w:cs="Times New Roman"/>
        </w:rPr>
      </w:pPr>
      <w:r w:rsidRPr="00F96011">
        <w:rPr>
          <w:rFonts w:ascii="Calibri" w:eastAsia="Calibri" w:hAnsi="Calibri" w:cs="Times New Roman"/>
        </w:rPr>
        <w:t>L’objet de ces descriptions est de présenter d’une façon simplifiée les indicateurs qui sont retenus pour le Système de Suivi des B</w:t>
      </w:r>
      <w:r w:rsidR="003F08F6">
        <w:rPr>
          <w:rFonts w:ascii="Calibri" w:eastAsia="Calibri" w:hAnsi="Calibri" w:cs="Times New Roman"/>
        </w:rPr>
        <w:t>ois Energie</w:t>
      </w:r>
      <w:r w:rsidRPr="00F96011">
        <w:rPr>
          <w:rFonts w:ascii="Calibri" w:eastAsia="Calibri" w:hAnsi="Calibri" w:cs="Times New Roman"/>
        </w:rPr>
        <w:t xml:space="preserve"> et Alternatives de Cuisson.</w:t>
      </w:r>
    </w:p>
    <w:p w14:paraId="36DD66D5" w14:textId="126677ED" w:rsidR="00F96011" w:rsidRPr="00F96011" w:rsidRDefault="00F96011" w:rsidP="00863AD4">
      <w:pPr>
        <w:spacing w:line="360" w:lineRule="auto"/>
        <w:jc w:val="both"/>
        <w:rPr>
          <w:rFonts w:ascii="Calibri" w:eastAsia="Calibri" w:hAnsi="Calibri" w:cs="Times New Roman"/>
        </w:rPr>
      </w:pPr>
      <w:r w:rsidRPr="00F96011">
        <w:rPr>
          <w:rFonts w:ascii="Calibri" w:eastAsia="Calibri" w:hAnsi="Calibri" w:cs="Times New Roman"/>
        </w:rPr>
        <w:t xml:space="preserve">Au total, </w:t>
      </w:r>
      <w:r w:rsidRPr="00F96011">
        <w:rPr>
          <w:rFonts w:ascii="Calibri" w:eastAsia="Calibri" w:hAnsi="Calibri" w:cs="Times New Roman"/>
          <w:color w:val="000000"/>
        </w:rPr>
        <w:t>19</w:t>
      </w:r>
      <w:r w:rsidRPr="00F96011">
        <w:rPr>
          <w:rFonts w:ascii="Calibri" w:eastAsia="Calibri" w:hAnsi="Calibri" w:cs="Times New Roman"/>
        </w:rPr>
        <w:t xml:space="preserve"> indicateurs sont retenus </w:t>
      </w:r>
      <w:r w:rsidR="003F08F6">
        <w:rPr>
          <w:rFonts w:ascii="Calibri" w:eastAsia="Calibri" w:hAnsi="Calibri" w:cs="Times New Roman"/>
        </w:rPr>
        <w:t>dans</w:t>
      </w:r>
      <w:r w:rsidRPr="00F96011">
        <w:rPr>
          <w:rFonts w:ascii="Calibri" w:eastAsia="Calibri" w:hAnsi="Calibri" w:cs="Times New Roman"/>
        </w:rPr>
        <w:t xml:space="preserve"> le système. </w:t>
      </w:r>
    </w:p>
    <w:p w14:paraId="0CAC0FA8" w14:textId="796DB32C" w:rsidR="00F96011" w:rsidRDefault="00F96011" w:rsidP="00863AD4">
      <w:pPr>
        <w:spacing w:line="360" w:lineRule="auto"/>
        <w:jc w:val="both"/>
        <w:rPr>
          <w:rFonts w:ascii="Calibri" w:eastAsia="Calibri" w:hAnsi="Calibri" w:cs="Times New Roman"/>
        </w:rPr>
      </w:pPr>
      <w:r w:rsidRPr="00F96011">
        <w:rPr>
          <w:rFonts w:ascii="Calibri" w:eastAsia="Calibri" w:hAnsi="Calibri" w:cs="Times New Roman"/>
        </w:rPr>
        <w:t>Pour chaque indicateur est présentée une définition générale, suivie des indicateurs associés et les paramètres mis en jeu.</w:t>
      </w:r>
      <w:r w:rsidR="003F08F6">
        <w:rPr>
          <w:rFonts w:ascii="Calibri" w:eastAsia="Calibri" w:hAnsi="Calibri" w:cs="Times New Roman"/>
        </w:rPr>
        <w:t xml:space="preserve"> </w:t>
      </w:r>
      <w:r w:rsidRPr="00F96011">
        <w:rPr>
          <w:rFonts w:ascii="Calibri" w:eastAsia="Calibri" w:hAnsi="Calibri" w:cs="Times New Roman"/>
        </w:rPr>
        <w:t xml:space="preserve">Les méthodes de collecte de données, ainsi que la méthode de calcul de la situation, le système de rapportage, les destinataires du rapport et leur périodicité sont rappelés pour chaque indicateur. </w:t>
      </w:r>
    </w:p>
    <w:p w14:paraId="007F90BB" w14:textId="77777777" w:rsidR="009A5517" w:rsidRPr="00F96011" w:rsidRDefault="009A5517" w:rsidP="00863AD4">
      <w:pPr>
        <w:spacing w:line="360" w:lineRule="auto"/>
        <w:jc w:val="both"/>
        <w:rPr>
          <w:rFonts w:ascii="Calibri" w:eastAsia="Calibri" w:hAnsi="Calibri" w:cs="Times New Roman"/>
        </w:rPr>
      </w:pPr>
    </w:p>
    <w:tbl>
      <w:tblPr>
        <w:tblStyle w:val="Grilledutableau3"/>
        <w:tblW w:w="5000" w:type="pct"/>
        <w:tblInd w:w="0" w:type="dxa"/>
        <w:tblLook w:val="04A0" w:firstRow="1" w:lastRow="0" w:firstColumn="1" w:lastColumn="0" w:noHBand="0" w:noVBand="1"/>
      </w:tblPr>
      <w:tblGrid>
        <w:gridCol w:w="1838"/>
        <w:gridCol w:w="2552"/>
        <w:gridCol w:w="4672"/>
      </w:tblGrid>
      <w:tr w:rsidR="00F96011" w:rsidRPr="00F96011" w14:paraId="403F6B91" w14:textId="77777777" w:rsidTr="00F96011">
        <w:trPr>
          <w:gridAfter w:val="2"/>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FFE599"/>
            <w:hideMark/>
          </w:tcPr>
          <w:p w14:paraId="3FE145CC" w14:textId="77777777" w:rsidR="00F96011" w:rsidRPr="00A92FDE" w:rsidRDefault="00F96011" w:rsidP="008A6B56">
            <w:pPr>
              <w:spacing w:line="240" w:lineRule="auto"/>
              <w:rPr>
                <w:b/>
                <w:bCs/>
              </w:rPr>
            </w:pPr>
            <w:r w:rsidRPr="00A92FDE">
              <w:rPr>
                <w:b/>
                <w:bCs/>
              </w:rPr>
              <w:t>Fiche N° 01</w:t>
            </w:r>
          </w:p>
        </w:tc>
      </w:tr>
      <w:tr w:rsidR="00F96011" w:rsidRPr="00F96011" w14:paraId="1428D54F"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FFE599"/>
            <w:hideMark/>
          </w:tcPr>
          <w:p w14:paraId="5C0E65F4" w14:textId="77777777" w:rsidR="00F96011" w:rsidRPr="00F96011" w:rsidRDefault="00F96011" w:rsidP="008A6B56">
            <w:pPr>
              <w:spacing w:line="240" w:lineRule="auto"/>
            </w:pPr>
            <w:r w:rsidRPr="00F96011">
              <w:t xml:space="preserve">Cadre référentiel </w:t>
            </w:r>
          </w:p>
        </w:tc>
        <w:tc>
          <w:tcPr>
            <w:tcW w:w="2578" w:type="pct"/>
            <w:tcBorders>
              <w:top w:val="single" w:sz="4" w:space="0" w:color="auto"/>
              <w:left w:val="single" w:sz="4" w:space="0" w:color="auto"/>
              <w:bottom w:val="single" w:sz="4" w:space="0" w:color="auto"/>
              <w:right w:val="single" w:sz="4" w:space="0" w:color="auto"/>
            </w:tcBorders>
            <w:shd w:val="clear" w:color="auto" w:fill="FFF2CC"/>
            <w:hideMark/>
          </w:tcPr>
          <w:p w14:paraId="2F6A1809" w14:textId="23A1D3D9" w:rsidR="00F96011" w:rsidRPr="00F96011" w:rsidRDefault="00B56450" w:rsidP="008A6B56">
            <w:pPr>
              <w:pStyle w:val="Titre2"/>
              <w:spacing w:line="240" w:lineRule="auto"/>
              <w:outlineLvl w:val="1"/>
            </w:pPr>
            <w:bookmarkStart w:id="8" w:name="_Toc75162449"/>
            <w:r>
              <w:t>Exist</w:t>
            </w:r>
            <w:r w:rsidR="00B90289">
              <w:t xml:space="preserve">ence </w:t>
            </w:r>
            <w:r w:rsidR="00F96011" w:rsidRPr="00F96011">
              <w:t>de</w:t>
            </w:r>
            <w:r w:rsidR="00B90289">
              <w:t>s</w:t>
            </w:r>
            <w:r w:rsidR="00F96011" w:rsidRPr="00F96011">
              <w:t xml:space="preserve"> documents </w:t>
            </w:r>
            <w:r w:rsidR="00F96011" w:rsidRPr="00F96011">
              <w:rPr>
                <w:rFonts w:cs="Calibri"/>
              </w:rPr>
              <w:t xml:space="preserve">cadres référentiels </w:t>
            </w:r>
            <w:r w:rsidR="00F96011" w:rsidRPr="00F96011">
              <w:t>relatifs aux bois énergie</w:t>
            </w:r>
            <w:r w:rsidR="00B90289">
              <w:t xml:space="preserve"> </w:t>
            </w:r>
            <w:r w:rsidR="009E0008">
              <w:t xml:space="preserve">et aux alternatives de cuisson </w:t>
            </w:r>
            <w:r w:rsidR="00B90289">
              <w:t>à chaque niveau</w:t>
            </w:r>
            <w:bookmarkEnd w:id="8"/>
          </w:p>
        </w:tc>
      </w:tr>
      <w:tr w:rsidR="00F96011" w:rsidRPr="00F96011" w14:paraId="0AFC884C"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D8BE879" w14:textId="77777777" w:rsidR="00F96011" w:rsidRPr="00F96011" w:rsidRDefault="00F96011" w:rsidP="008A6B56">
            <w:pPr>
              <w:spacing w:line="240" w:lineRule="auto"/>
              <w:rPr>
                <w:b/>
                <w:bCs/>
              </w:rPr>
            </w:pPr>
            <w:r w:rsidRPr="00F96011">
              <w:rPr>
                <w:b/>
                <w:bCs/>
              </w:rPr>
              <w:t>Description</w:t>
            </w:r>
          </w:p>
        </w:tc>
        <w:tc>
          <w:tcPr>
            <w:tcW w:w="3986" w:type="pct"/>
            <w:gridSpan w:val="2"/>
            <w:tcBorders>
              <w:top w:val="single" w:sz="4" w:space="0" w:color="auto"/>
              <w:left w:val="single" w:sz="4" w:space="0" w:color="auto"/>
              <w:bottom w:val="single" w:sz="4" w:space="0" w:color="auto"/>
              <w:right w:val="single" w:sz="4" w:space="0" w:color="auto"/>
            </w:tcBorders>
            <w:hideMark/>
          </w:tcPr>
          <w:p w14:paraId="7B6273AC" w14:textId="77777777" w:rsidR="00F96011" w:rsidRPr="00F96011" w:rsidRDefault="00F96011" w:rsidP="008A6B56">
            <w:pPr>
              <w:spacing w:line="240" w:lineRule="auto"/>
              <w:jc w:val="both"/>
            </w:pPr>
            <w:r w:rsidRPr="00F96011">
              <w:t>Il s’agit de savoir l’existence de document référentiels</w:t>
            </w:r>
            <w:r w:rsidRPr="00F96011">
              <w:rPr>
                <w:rFonts w:cs="Calibri"/>
                <w:b/>
                <w:bCs/>
              </w:rPr>
              <w:t xml:space="preserve"> </w:t>
            </w:r>
            <w:r w:rsidRPr="00F96011">
              <w:t xml:space="preserve">et l’application de son contenu sur les règlementations des droits d’exploitation des forêts concernant la planification, et organisation des activités forestières. Cet indicateur est sans doute un outil pour le renforcement de la gouvernance dans la filière bois énergie. </w:t>
            </w:r>
          </w:p>
        </w:tc>
      </w:tr>
      <w:tr w:rsidR="00F96011" w:rsidRPr="00F96011" w14:paraId="64AD5B5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5057400" w14:textId="77777777" w:rsidR="00F96011" w:rsidRPr="00F96011" w:rsidRDefault="00F96011" w:rsidP="008A6B56">
            <w:pPr>
              <w:spacing w:line="240" w:lineRule="auto"/>
              <w:rPr>
                <w:b/>
                <w:bCs/>
              </w:rPr>
            </w:pPr>
            <w:r w:rsidRPr="00F96011">
              <w:rPr>
                <w:b/>
                <w:bCs/>
              </w:rPr>
              <w:t>Indicateurs associés</w:t>
            </w:r>
          </w:p>
        </w:tc>
        <w:tc>
          <w:tcPr>
            <w:tcW w:w="3986" w:type="pct"/>
            <w:gridSpan w:val="2"/>
            <w:tcBorders>
              <w:top w:val="single" w:sz="4" w:space="0" w:color="auto"/>
              <w:left w:val="single" w:sz="4" w:space="0" w:color="auto"/>
              <w:bottom w:val="single" w:sz="4" w:space="0" w:color="auto"/>
              <w:right w:val="single" w:sz="4" w:space="0" w:color="auto"/>
            </w:tcBorders>
          </w:tcPr>
          <w:p w14:paraId="0D3FD3CF" w14:textId="77777777" w:rsidR="00F96011" w:rsidRPr="00F96011" w:rsidRDefault="00F96011" w:rsidP="008A6B56">
            <w:pPr>
              <w:spacing w:line="240" w:lineRule="auto"/>
              <w:jc w:val="both"/>
            </w:pPr>
          </w:p>
        </w:tc>
      </w:tr>
      <w:tr w:rsidR="00F96011" w:rsidRPr="00F96011" w14:paraId="789C163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9958905" w14:textId="77777777" w:rsidR="00F96011" w:rsidRPr="00F96011" w:rsidRDefault="00F96011" w:rsidP="008A6B56">
            <w:pPr>
              <w:spacing w:line="240" w:lineRule="auto"/>
              <w:rPr>
                <w:b/>
                <w:bCs/>
              </w:rPr>
            </w:pPr>
            <w:r w:rsidRPr="00F96011">
              <w:rPr>
                <w:b/>
                <w:bCs/>
              </w:rPr>
              <w:t>Fiche de collecte correspondante</w:t>
            </w:r>
          </w:p>
        </w:tc>
        <w:tc>
          <w:tcPr>
            <w:tcW w:w="3986" w:type="pct"/>
            <w:gridSpan w:val="2"/>
            <w:tcBorders>
              <w:top w:val="single" w:sz="4" w:space="0" w:color="auto"/>
              <w:left w:val="single" w:sz="4" w:space="0" w:color="auto"/>
              <w:bottom w:val="single" w:sz="4" w:space="0" w:color="auto"/>
              <w:right w:val="single" w:sz="4" w:space="0" w:color="auto"/>
            </w:tcBorders>
            <w:hideMark/>
          </w:tcPr>
          <w:p w14:paraId="28B6670D" w14:textId="77777777" w:rsidR="00F96011" w:rsidRPr="00F96011" w:rsidRDefault="00F96011" w:rsidP="008A6B56">
            <w:pPr>
              <w:spacing w:line="240" w:lineRule="auto"/>
              <w:rPr>
                <w:i/>
                <w:iCs/>
              </w:rPr>
            </w:pPr>
            <w:r w:rsidRPr="00F96011">
              <w:rPr>
                <w:i/>
                <w:iCs/>
              </w:rPr>
              <w:t>Fiche de collecte des données secondaires</w:t>
            </w:r>
          </w:p>
        </w:tc>
      </w:tr>
      <w:tr w:rsidR="00F96011" w:rsidRPr="00F96011" w14:paraId="0CAE470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70D3A8A" w14:textId="77777777" w:rsidR="00F96011" w:rsidRPr="00F96011" w:rsidRDefault="00F96011" w:rsidP="008A6B56">
            <w:pPr>
              <w:spacing w:line="240" w:lineRule="auto"/>
              <w:rPr>
                <w:b/>
                <w:bCs/>
              </w:rPr>
            </w:pPr>
            <w:r w:rsidRPr="00F96011">
              <w:rPr>
                <w:b/>
                <w:bCs/>
              </w:rPr>
              <w:t xml:space="preserve">Paramètres mis en jeu </w:t>
            </w:r>
          </w:p>
        </w:tc>
        <w:tc>
          <w:tcPr>
            <w:tcW w:w="3986" w:type="pct"/>
            <w:gridSpan w:val="2"/>
            <w:tcBorders>
              <w:top w:val="single" w:sz="4" w:space="0" w:color="auto"/>
              <w:left w:val="single" w:sz="4" w:space="0" w:color="auto"/>
              <w:bottom w:val="single" w:sz="4" w:space="0" w:color="auto"/>
              <w:right w:val="single" w:sz="4" w:space="0" w:color="auto"/>
            </w:tcBorders>
            <w:hideMark/>
          </w:tcPr>
          <w:p w14:paraId="718B6BAA" w14:textId="41F8C99E" w:rsidR="00F96011" w:rsidRPr="00F96011" w:rsidRDefault="00F96011" w:rsidP="008A6B56">
            <w:pPr>
              <w:spacing w:line="240" w:lineRule="auto"/>
            </w:pPr>
            <w:r w:rsidRPr="00F96011">
              <w:t>Liste des documents cadres référentiels relatifs au</w:t>
            </w:r>
            <w:r w:rsidR="009E0008">
              <w:t>x</w:t>
            </w:r>
            <w:r w:rsidRPr="00F96011">
              <w:t xml:space="preserve"> bois énergie</w:t>
            </w:r>
            <w:r w:rsidR="009E0008">
              <w:t xml:space="preserve"> et alternatives de cuisson</w:t>
            </w:r>
          </w:p>
        </w:tc>
      </w:tr>
      <w:tr w:rsidR="00F96011" w:rsidRPr="00F96011" w14:paraId="119847F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4E8A5F3" w14:textId="77777777" w:rsidR="00F96011" w:rsidRPr="00F96011" w:rsidRDefault="00F96011" w:rsidP="008A6B56">
            <w:pPr>
              <w:spacing w:line="240" w:lineRule="auto"/>
              <w:rPr>
                <w:b/>
                <w:bCs/>
              </w:rPr>
            </w:pPr>
            <w:r w:rsidRPr="00F96011">
              <w:rPr>
                <w:b/>
                <w:bCs/>
              </w:rPr>
              <w:t>Méthode de collecte</w:t>
            </w:r>
          </w:p>
        </w:tc>
        <w:tc>
          <w:tcPr>
            <w:tcW w:w="3986" w:type="pct"/>
            <w:gridSpan w:val="2"/>
            <w:tcBorders>
              <w:top w:val="single" w:sz="4" w:space="0" w:color="auto"/>
              <w:left w:val="single" w:sz="4" w:space="0" w:color="auto"/>
              <w:bottom w:val="single" w:sz="4" w:space="0" w:color="auto"/>
              <w:right w:val="single" w:sz="4" w:space="0" w:color="auto"/>
            </w:tcBorders>
            <w:hideMark/>
          </w:tcPr>
          <w:p w14:paraId="3C332828" w14:textId="451609EB" w:rsidR="00F96011" w:rsidRPr="00F96011" w:rsidRDefault="00F96011" w:rsidP="008A6B56">
            <w:pPr>
              <w:spacing w:line="240" w:lineRule="auto"/>
              <w:jc w:val="both"/>
            </w:pPr>
            <w:r w:rsidRPr="00F96011">
              <w:t>Investigations auprès des services déconcentrés de MEDD pour relever les noms de documents référentiels existant ainsi que leur application dans la filière bois énergie</w:t>
            </w:r>
            <w:r w:rsidR="009E0008">
              <w:t xml:space="preserve"> et aux alternatives de cuisson</w:t>
            </w:r>
          </w:p>
        </w:tc>
      </w:tr>
      <w:tr w:rsidR="00F96011" w:rsidRPr="00F96011" w14:paraId="6890335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A0CD859" w14:textId="77777777" w:rsidR="00F96011" w:rsidRPr="00F96011" w:rsidRDefault="00F96011" w:rsidP="008A6B56">
            <w:pPr>
              <w:spacing w:line="240" w:lineRule="auto"/>
              <w:rPr>
                <w:b/>
                <w:bCs/>
              </w:rPr>
            </w:pPr>
            <w:r w:rsidRPr="00F96011">
              <w:rPr>
                <w:b/>
                <w:bCs/>
              </w:rPr>
              <w:t xml:space="preserve">Méthode de calcul </w:t>
            </w:r>
          </w:p>
        </w:tc>
        <w:tc>
          <w:tcPr>
            <w:tcW w:w="3986" w:type="pct"/>
            <w:gridSpan w:val="2"/>
            <w:tcBorders>
              <w:top w:val="single" w:sz="4" w:space="0" w:color="auto"/>
              <w:left w:val="single" w:sz="4" w:space="0" w:color="auto"/>
              <w:bottom w:val="single" w:sz="4" w:space="0" w:color="auto"/>
              <w:right w:val="single" w:sz="4" w:space="0" w:color="auto"/>
            </w:tcBorders>
            <w:hideMark/>
          </w:tcPr>
          <w:p w14:paraId="79D4821B" w14:textId="6FB2A717" w:rsidR="00F96011" w:rsidRPr="00F96011" w:rsidRDefault="002F4119" w:rsidP="008A6B56">
            <w:pPr>
              <w:spacing w:line="240" w:lineRule="auto"/>
              <w:jc w:val="both"/>
            </w:pPr>
            <w:r>
              <w:t xml:space="preserve">Nombre </w:t>
            </w:r>
            <w:r w:rsidR="00F96011" w:rsidRPr="00F96011">
              <w:t>de documents existants</w:t>
            </w:r>
            <w:r w:rsidR="00C76BB3">
              <w:t xml:space="preserve"> à chaque niveau</w:t>
            </w:r>
          </w:p>
        </w:tc>
      </w:tr>
      <w:tr w:rsidR="00F96011" w:rsidRPr="00F96011" w14:paraId="177CC31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F0EF31C" w14:textId="77777777" w:rsidR="00F96011" w:rsidRPr="00F96011" w:rsidRDefault="00F96011" w:rsidP="008A6B56">
            <w:pPr>
              <w:spacing w:line="240" w:lineRule="auto"/>
              <w:rPr>
                <w:b/>
                <w:bCs/>
              </w:rPr>
            </w:pPr>
            <w:r w:rsidRPr="00F96011">
              <w:rPr>
                <w:b/>
                <w:bCs/>
              </w:rPr>
              <w:t>Unité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7B917D31" w14:textId="1DA3CA9F" w:rsidR="00F96011" w:rsidRPr="00F96011" w:rsidRDefault="00F96011" w:rsidP="008A6B56">
            <w:pPr>
              <w:spacing w:line="240" w:lineRule="auto"/>
            </w:pPr>
            <w:r w:rsidRPr="00F96011">
              <w:t>Document</w:t>
            </w:r>
            <w:r w:rsidR="00B90289">
              <w:t xml:space="preserve"> existant et nombre pour chaque niveau (District, Région</w:t>
            </w:r>
            <w:r w:rsidR="003F08F6">
              <w:t>, National</w:t>
            </w:r>
            <w:r w:rsidR="00B90289">
              <w:t>)</w:t>
            </w:r>
          </w:p>
        </w:tc>
      </w:tr>
      <w:tr w:rsidR="00F96011" w:rsidRPr="00F96011" w14:paraId="2CD7F83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855917E" w14:textId="77777777" w:rsidR="00F96011" w:rsidRPr="00F96011" w:rsidRDefault="00F96011" w:rsidP="008A6B56">
            <w:pPr>
              <w:spacing w:line="240" w:lineRule="auto"/>
              <w:rPr>
                <w:b/>
                <w:bCs/>
              </w:rPr>
            </w:pPr>
            <w:r w:rsidRPr="00F96011">
              <w:rPr>
                <w:b/>
                <w:bCs/>
              </w:rPr>
              <w:t>Périodicité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75BB4877" w14:textId="77777777" w:rsidR="00F96011" w:rsidRPr="00F96011" w:rsidRDefault="00F96011" w:rsidP="008A6B56">
            <w:pPr>
              <w:spacing w:line="240" w:lineRule="auto"/>
            </w:pPr>
            <w:r w:rsidRPr="00F96011">
              <w:t>Chaque année</w:t>
            </w:r>
          </w:p>
        </w:tc>
      </w:tr>
      <w:tr w:rsidR="00F96011" w:rsidRPr="00F96011" w14:paraId="12496278"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459261F" w14:textId="77777777" w:rsidR="00F96011" w:rsidRPr="00F96011" w:rsidRDefault="00F96011" w:rsidP="008A6B56">
            <w:pPr>
              <w:spacing w:line="240" w:lineRule="auto"/>
              <w:rPr>
                <w:b/>
                <w:bCs/>
              </w:rPr>
            </w:pPr>
            <w:r w:rsidRPr="00F96011">
              <w:rPr>
                <w:b/>
                <w:bCs/>
              </w:rPr>
              <w:t>Rapportage</w:t>
            </w:r>
          </w:p>
        </w:tc>
        <w:tc>
          <w:tcPr>
            <w:tcW w:w="3986" w:type="pct"/>
            <w:gridSpan w:val="2"/>
            <w:tcBorders>
              <w:top w:val="single" w:sz="4" w:space="0" w:color="auto"/>
              <w:left w:val="single" w:sz="4" w:space="0" w:color="auto"/>
              <w:bottom w:val="single" w:sz="4" w:space="0" w:color="auto"/>
              <w:right w:val="single" w:sz="4" w:space="0" w:color="auto"/>
            </w:tcBorders>
            <w:hideMark/>
          </w:tcPr>
          <w:p w14:paraId="1B18678E"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réalisé au mois de Novembre (par les services régionaux en charge des reboisements). Le rapport national établit par le service central en charge des reboisements sera attendu au mois de Décembre de la même année.</w:t>
            </w:r>
          </w:p>
        </w:tc>
      </w:tr>
      <w:tr w:rsidR="00F96011" w:rsidRPr="00F96011" w14:paraId="4A39B02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4534BB2" w14:textId="77777777" w:rsidR="00F96011" w:rsidRPr="00F96011" w:rsidRDefault="00F96011" w:rsidP="008A6B56">
            <w:pPr>
              <w:spacing w:line="240" w:lineRule="auto"/>
              <w:rPr>
                <w:b/>
                <w:bCs/>
              </w:rPr>
            </w:pPr>
            <w:r w:rsidRPr="00F96011">
              <w:rPr>
                <w:b/>
                <w:bCs/>
              </w:rPr>
              <w:t>Fiabilité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2A8BA4B0" w14:textId="77777777" w:rsidR="00F96011" w:rsidRPr="00F96011" w:rsidRDefault="00F96011" w:rsidP="008A6B56">
            <w:pPr>
              <w:spacing w:line="240" w:lineRule="auto"/>
            </w:pPr>
            <w:r w:rsidRPr="00F96011">
              <w:t>Très Bonne</w:t>
            </w:r>
          </w:p>
        </w:tc>
      </w:tr>
    </w:tbl>
    <w:p w14:paraId="6DDD8482" w14:textId="658A95AB" w:rsidR="0013533D" w:rsidRDefault="0013533D" w:rsidP="00863AD4">
      <w:pPr>
        <w:spacing w:line="360" w:lineRule="auto"/>
        <w:rPr>
          <w:rFonts w:ascii="Calibri" w:eastAsia="Calibri" w:hAnsi="Calibri" w:cs="Times New Roman"/>
        </w:rPr>
      </w:pPr>
    </w:p>
    <w:p w14:paraId="109C9CFD" w14:textId="77777777" w:rsidR="0013533D" w:rsidRDefault="0013533D" w:rsidP="00863AD4">
      <w:pPr>
        <w:spacing w:line="360" w:lineRule="auto"/>
        <w:rPr>
          <w:rFonts w:ascii="Calibri" w:eastAsia="Calibri" w:hAnsi="Calibri" w:cs="Times New Roman"/>
        </w:rPr>
      </w:pPr>
      <w:r>
        <w:rPr>
          <w:rFonts w:ascii="Calibri" w:eastAsia="Calibri" w:hAnsi="Calibri" w:cs="Times New Roman"/>
        </w:rPr>
        <w:br w:type="page"/>
      </w:r>
    </w:p>
    <w:tbl>
      <w:tblPr>
        <w:tblStyle w:val="Grilledutableau3"/>
        <w:tblW w:w="5079" w:type="pct"/>
        <w:tblInd w:w="0" w:type="dxa"/>
        <w:tblLook w:val="04A0" w:firstRow="1" w:lastRow="0" w:firstColumn="1" w:lastColumn="0" w:noHBand="0" w:noVBand="1"/>
      </w:tblPr>
      <w:tblGrid>
        <w:gridCol w:w="1837"/>
        <w:gridCol w:w="2697"/>
        <w:gridCol w:w="987"/>
        <w:gridCol w:w="3684"/>
      </w:tblGrid>
      <w:tr w:rsidR="00F96011" w:rsidRPr="00F96011" w14:paraId="0DE0AAED" w14:textId="77777777" w:rsidTr="00F96011">
        <w:trPr>
          <w:gridAfter w:val="3"/>
          <w:wAfter w:w="4002" w:type="pct"/>
        </w:trPr>
        <w:tc>
          <w:tcPr>
            <w:tcW w:w="998" w:type="pct"/>
            <w:tcBorders>
              <w:top w:val="single" w:sz="4" w:space="0" w:color="auto"/>
              <w:left w:val="single" w:sz="4" w:space="0" w:color="auto"/>
              <w:bottom w:val="single" w:sz="4" w:space="0" w:color="auto"/>
              <w:right w:val="single" w:sz="4" w:space="0" w:color="auto"/>
            </w:tcBorders>
            <w:shd w:val="clear" w:color="auto" w:fill="FFE599"/>
            <w:hideMark/>
          </w:tcPr>
          <w:p w14:paraId="663156ED" w14:textId="77777777" w:rsidR="00F96011" w:rsidRPr="00A92FDE" w:rsidRDefault="00F96011" w:rsidP="008A6B56">
            <w:pPr>
              <w:spacing w:line="240" w:lineRule="auto"/>
              <w:rPr>
                <w:b/>
                <w:bCs/>
              </w:rPr>
            </w:pPr>
            <w:r w:rsidRPr="00A92FDE">
              <w:rPr>
                <w:b/>
                <w:bCs/>
              </w:rPr>
              <w:lastRenderedPageBreak/>
              <w:t>Fiche N° 02</w:t>
            </w:r>
          </w:p>
        </w:tc>
      </w:tr>
      <w:tr w:rsidR="00F96011" w:rsidRPr="00F96011" w14:paraId="6FD26FEA" w14:textId="77777777" w:rsidTr="00F96011">
        <w:tc>
          <w:tcPr>
            <w:tcW w:w="2463" w:type="pct"/>
            <w:gridSpan w:val="2"/>
            <w:tcBorders>
              <w:top w:val="single" w:sz="4" w:space="0" w:color="auto"/>
              <w:left w:val="single" w:sz="4" w:space="0" w:color="auto"/>
              <w:bottom w:val="single" w:sz="4" w:space="0" w:color="auto"/>
              <w:right w:val="single" w:sz="4" w:space="0" w:color="auto"/>
            </w:tcBorders>
            <w:shd w:val="clear" w:color="auto" w:fill="FFE599"/>
            <w:hideMark/>
          </w:tcPr>
          <w:p w14:paraId="7F09FDFE" w14:textId="426C457E" w:rsidR="00F96011" w:rsidRPr="00F96011" w:rsidRDefault="00F96011" w:rsidP="008A6B56">
            <w:pPr>
              <w:spacing w:line="240" w:lineRule="auto"/>
            </w:pPr>
            <w:r w:rsidRPr="00F96011">
              <w:t xml:space="preserve">Offre potentielle en </w:t>
            </w:r>
            <w:r w:rsidR="00C76BB3">
              <w:t>bois énergie</w:t>
            </w:r>
          </w:p>
        </w:tc>
        <w:tc>
          <w:tcPr>
            <w:tcW w:w="2537"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D61E672" w14:textId="1D518727" w:rsidR="00F96011" w:rsidRPr="00F96011" w:rsidRDefault="009545F9" w:rsidP="008A6B56">
            <w:pPr>
              <w:pStyle w:val="Titre2"/>
              <w:spacing w:line="240" w:lineRule="auto"/>
              <w:outlineLvl w:val="1"/>
            </w:pPr>
            <w:bookmarkStart w:id="9" w:name="_Toc75162450"/>
            <w:r>
              <w:t>Superficie p</w:t>
            </w:r>
            <w:r w:rsidR="00F96011" w:rsidRPr="00F96011">
              <w:t>otentiel</w:t>
            </w:r>
            <w:r>
              <w:t>le</w:t>
            </w:r>
            <w:r w:rsidR="00F96011" w:rsidRPr="00F96011">
              <w:t xml:space="preserve"> en </w:t>
            </w:r>
            <w:r w:rsidR="00C76BB3">
              <w:t>bois énergie</w:t>
            </w:r>
            <w:r w:rsidR="00F96011" w:rsidRPr="00F96011">
              <w:t xml:space="preserve"> des forêts naturelles</w:t>
            </w:r>
            <w:bookmarkEnd w:id="9"/>
          </w:p>
        </w:tc>
      </w:tr>
      <w:tr w:rsidR="00F96011" w:rsidRPr="00F96011" w14:paraId="605ED7F4"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771C4F4D" w14:textId="77777777" w:rsidR="00F96011" w:rsidRPr="00F96011" w:rsidRDefault="00F96011" w:rsidP="008A6B56">
            <w:pPr>
              <w:spacing w:line="240" w:lineRule="auto"/>
              <w:rPr>
                <w:b/>
                <w:bCs/>
              </w:rPr>
            </w:pPr>
            <w:r w:rsidRPr="00F96011">
              <w:rPr>
                <w:b/>
                <w:bCs/>
              </w:rPr>
              <w:t>Description</w:t>
            </w:r>
          </w:p>
        </w:tc>
        <w:tc>
          <w:tcPr>
            <w:tcW w:w="4002" w:type="pct"/>
            <w:gridSpan w:val="3"/>
            <w:tcBorders>
              <w:top w:val="single" w:sz="4" w:space="0" w:color="auto"/>
              <w:left w:val="single" w:sz="4" w:space="0" w:color="auto"/>
              <w:bottom w:val="single" w:sz="4" w:space="0" w:color="auto"/>
              <w:right w:val="single" w:sz="4" w:space="0" w:color="auto"/>
            </w:tcBorders>
            <w:hideMark/>
          </w:tcPr>
          <w:p w14:paraId="141B4160" w14:textId="77777777" w:rsidR="00F96011" w:rsidRPr="00F96011" w:rsidRDefault="00F96011" w:rsidP="008A6B56">
            <w:pPr>
              <w:spacing w:line="240" w:lineRule="auto"/>
              <w:jc w:val="both"/>
            </w:pPr>
            <w:r w:rsidRPr="00F96011">
              <w:t xml:space="preserve">Il s’agit de connaître si les forêts naturelles déjà existantes et les réalisations de reforestation arrivent à maintenir la source en bois énergie dans une localité donnée. </w:t>
            </w:r>
          </w:p>
          <w:p w14:paraId="74A7B1D9" w14:textId="77777777" w:rsidR="00F96011" w:rsidRPr="00F96011" w:rsidRDefault="00F96011" w:rsidP="008A6B56">
            <w:pPr>
              <w:spacing w:line="240" w:lineRule="auto"/>
              <w:jc w:val="both"/>
            </w:pPr>
            <w:r w:rsidRPr="00F96011">
              <w:t xml:space="preserve">Cet indicateur donne les informations sur l’évolution de la ressource en bois énergie au niveau district, région et national. </w:t>
            </w:r>
          </w:p>
        </w:tc>
      </w:tr>
      <w:tr w:rsidR="00F96011" w:rsidRPr="00F96011" w14:paraId="2754378E"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318F8AE0" w14:textId="77777777" w:rsidR="00F96011" w:rsidRPr="00F96011" w:rsidRDefault="00F96011" w:rsidP="008A6B56">
            <w:pPr>
              <w:spacing w:line="240" w:lineRule="auto"/>
              <w:rPr>
                <w:b/>
                <w:bCs/>
              </w:rPr>
            </w:pPr>
            <w:r w:rsidRPr="00F96011">
              <w:rPr>
                <w:b/>
                <w:bCs/>
              </w:rPr>
              <w:t>Indicateurs associés</w:t>
            </w:r>
          </w:p>
        </w:tc>
        <w:tc>
          <w:tcPr>
            <w:tcW w:w="4002" w:type="pct"/>
            <w:gridSpan w:val="3"/>
            <w:tcBorders>
              <w:top w:val="single" w:sz="4" w:space="0" w:color="auto"/>
              <w:left w:val="single" w:sz="4" w:space="0" w:color="auto"/>
              <w:bottom w:val="single" w:sz="4" w:space="0" w:color="auto"/>
              <w:right w:val="single" w:sz="4" w:space="0" w:color="auto"/>
            </w:tcBorders>
            <w:hideMark/>
          </w:tcPr>
          <w:p w14:paraId="6ACF880B" w14:textId="77777777" w:rsidR="00F96011" w:rsidRPr="00F96011" w:rsidRDefault="00F96011" w:rsidP="008A6B56">
            <w:pPr>
              <w:spacing w:line="240" w:lineRule="auto"/>
              <w:jc w:val="both"/>
            </w:pPr>
            <w:r w:rsidRPr="00F96011">
              <w:t>- Suivi et contrôle effectués</w:t>
            </w:r>
          </w:p>
          <w:p w14:paraId="36A2F194" w14:textId="77777777" w:rsidR="00F96011" w:rsidRPr="00F96011" w:rsidRDefault="00F96011" w:rsidP="008A6B56">
            <w:pPr>
              <w:spacing w:line="240" w:lineRule="auto"/>
            </w:pPr>
            <w:r w:rsidRPr="00F96011">
              <w:t>- Surface forêts naturelles à vocation énergétique</w:t>
            </w:r>
          </w:p>
          <w:p w14:paraId="241A7DAE" w14:textId="77777777" w:rsidR="00F96011" w:rsidRPr="00F96011" w:rsidRDefault="00F96011" w:rsidP="008A6B56">
            <w:pPr>
              <w:spacing w:line="240" w:lineRule="auto"/>
              <w:jc w:val="both"/>
            </w:pPr>
            <w:r w:rsidRPr="00F96011">
              <w:t>- Surface forêt naturelle à vocation énergétique détruite</w:t>
            </w:r>
          </w:p>
        </w:tc>
      </w:tr>
      <w:tr w:rsidR="00F96011" w:rsidRPr="00F96011" w14:paraId="48708F54"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64E41707" w14:textId="77777777" w:rsidR="00F96011" w:rsidRPr="00F96011" w:rsidRDefault="00F96011" w:rsidP="008A6B56">
            <w:pPr>
              <w:spacing w:line="240" w:lineRule="auto"/>
              <w:rPr>
                <w:b/>
                <w:bCs/>
              </w:rPr>
            </w:pPr>
            <w:r w:rsidRPr="00F96011">
              <w:rPr>
                <w:b/>
                <w:bCs/>
              </w:rPr>
              <w:t>Fiche de collecte correspondante</w:t>
            </w:r>
          </w:p>
        </w:tc>
        <w:tc>
          <w:tcPr>
            <w:tcW w:w="4002" w:type="pct"/>
            <w:gridSpan w:val="3"/>
            <w:tcBorders>
              <w:top w:val="single" w:sz="4" w:space="0" w:color="auto"/>
              <w:left w:val="single" w:sz="4" w:space="0" w:color="auto"/>
              <w:bottom w:val="single" w:sz="4" w:space="0" w:color="auto"/>
              <w:right w:val="single" w:sz="4" w:space="0" w:color="auto"/>
            </w:tcBorders>
            <w:hideMark/>
          </w:tcPr>
          <w:p w14:paraId="1D545C95" w14:textId="77777777" w:rsidR="00F96011" w:rsidRPr="00F96011" w:rsidRDefault="00F96011" w:rsidP="008A6B56">
            <w:pPr>
              <w:spacing w:line="240" w:lineRule="auto"/>
            </w:pPr>
            <w:r w:rsidRPr="00F96011">
              <w:t>Fiche de collecte des données sur le potentiel en bois énergie des forêts naturelles</w:t>
            </w:r>
          </w:p>
        </w:tc>
      </w:tr>
      <w:tr w:rsidR="00F96011" w:rsidRPr="00F96011" w14:paraId="7E633979"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21376322" w14:textId="77777777" w:rsidR="00F96011" w:rsidRPr="00F96011" w:rsidRDefault="00F96011" w:rsidP="008A6B56">
            <w:pPr>
              <w:spacing w:line="240" w:lineRule="auto"/>
              <w:rPr>
                <w:b/>
                <w:bCs/>
              </w:rPr>
            </w:pPr>
            <w:r w:rsidRPr="00F96011">
              <w:rPr>
                <w:b/>
                <w:bCs/>
              </w:rPr>
              <w:t>Paramètres mis en jeu (données à collecter)</w:t>
            </w:r>
          </w:p>
        </w:tc>
        <w:tc>
          <w:tcPr>
            <w:tcW w:w="4002" w:type="pct"/>
            <w:gridSpan w:val="3"/>
            <w:tcBorders>
              <w:top w:val="single" w:sz="4" w:space="0" w:color="auto"/>
              <w:left w:val="single" w:sz="4" w:space="0" w:color="auto"/>
              <w:bottom w:val="single" w:sz="4" w:space="0" w:color="auto"/>
              <w:right w:val="single" w:sz="4" w:space="0" w:color="auto"/>
            </w:tcBorders>
            <w:hideMark/>
          </w:tcPr>
          <w:p w14:paraId="64E2CC1E" w14:textId="77777777" w:rsidR="00F96011" w:rsidRPr="00F96011" w:rsidRDefault="00F96011" w:rsidP="008A6B56">
            <w:pPr>
              <w:spacing w:line="240" w:lineRule="auto"/>
            </w:pPr>
            <w:r w:rsidRPr="00F96011">
              <w:t xml:space="preserve">- Existence de plan d’aménagement  </w:t>
            </w:r>
          </w:p>
          <w:p w14:paraId="6BBD80A6" w14:textId="77777777" w:rsidR="00F96011" w:rsidRPr="00F96011" w:rsidRDefault="00F96011" w:rsidP="008A6B56">
            <w:pPr>
              <w:spacing w:line="240" w:lineRule="auto"/>
            </w:pPr>
            <w:r w:rsidRPr="00F96011">
              <w:t>- Surface de forêt naturelle à vocation énergétique</w:t>
            </w:r>
          </w:p>
          <w:p w14:paraId="5FFD53C4" w14:textId="77777777" w:rsidR="00F96011" w:rsidRPr="00F96011" w:rsidRDefault="00F96011" w:rsidP="008A6B56">
            <w:pPr>
              <w:spacing w:line="240" w:lineRule="auto"/>
            </w:pPr>
            <w:r w:rsidRPr="00F96011">
              <w:t>- Nom GPX correspondant (Relevés délimitation GPS des surfaces) </w:t>
            </w:r>
          </w:p>
          <w:p w14:paraId="148382F6" w14:textId="77777777" w:rsidR="00F96011" w:rsidRPr="00F96011" w:rsidRDefault="00F96011" w:rsidP="008A6B56">
            <w:pPr>
              <w:spacing w:line="240" w:lineRule="auto"/>
            </w:pPr>
            <w:r w:rsidRPr="00F96011">
              <w:t xml:space="preserve">- Acteur/Opérateur exploitant (Institution, TG, ...) </w:t>
            </w:r>
          </w:p>
          <w:p w14:paraId="1443DB68" w14:textId="77777777" w:rsidR="00F96011" w:rsidRPr="00F96011" w:rsidRDefault="00F96011" w:rsidP="008A6B56">
            <w:pPr>
              <w:spacing w:line="240" w:lineRule="auto"/>
            </w:pPr>
            <w:r w:rsidRPr="00F96011">
              <w:t xml:space="preserve">- Existence d’autorisation d’exploitation </w:t>
            </w:r>
          </w:p>
          <w:p w14:paraId="0A44D590" w14:textId="77777777" w:rsidR="00F96011" w:rsidRPr="00F96011" w:rsidRDefault="00F96011" w:rsidP="008A6B56">
            <w:pPr>
              <w:spacing w:line="240" w:lineRule="auto"/>
            </w:pPr>
            <w:r w:rsidRPr="00F96011">
              <w:t>- Type de la formation forestière (mangrove, fourré, forêt ripicole, …) </w:t>
            </w:r>
          </w:p>
          <w:p w14:paraId="0DC1B24F" w14:textId="77777777" w:rsidR="00F96011" w:rsidRPr="00F96011" w:rsidRDefault="00F96011" w:rsidP="008A6B56">
            <w:pPr>
              <w:spacing w:line="240" w:lineRule="auto"/>
            </w:pPr>
            <w:r w:rsidRPr="00F96011">
              <w:t>- Protection de la forêt (Pare-feu, Clôture, panneau, Dina, …)</w:t>
            </w:r>
          </w:p>
          <w:p w14:paraId="5AE22EA1" w14:textId="77777777" w:rsidR="00F96011" w:rsidRPr="00F96011" w:rsidRDefault="00F96011" w:rsidP="008A6B56">
            <w:pPr>
              <w:spacing w:line="240" w:lineRule="auto"/>
              <w:rPr>
                <w:color w:val="00B050"/>
              </w:rPr>
            </w:pPr>
            <w:r w:rsidRPr="00F96011">
              <w:t xml:space="preserve">- Surface de forêts détruites </w:t>
            </w:r>
          </w:p>
          <w:p w14:paraId="3223BD97" w14:textId="77777777" w:rsidR="00F96011" w:rsidRPr="00F96011" w:rsidRDefault="00F96011" w:rsidP="008A6B56">
            <w:pPr>
              <w:spacing w:line="240" w:lineRule="auto"/>
            </w:pPr>
            <w:r w:rsidRPr="00F96011">
              <w:t>- Liste des essences recensées </w:t>
            </w:r>
          </w:p>
          <w:p w14:paraId="202D214D" w14:textId="77777777" w:rsidR="00F96011" w:rsidRPr="00F96011" w:rsidRDefault="00F96011" w:rsidP="008A6B56">
            <w:pPr>
              <w:spacing w:line="240" w:lineRule="auto"/>
            </w:pPr>
            <w:r w:rsidRPr="00F96011">
              <w:t>- Nombre de contrôle et suivi effectué par l’administration forestière par an (</w:t>
            </w:r>
            <w:proofErr w:type="spellStart"/>
            <w:r w:rsidRPr="00F96011">
              <w:t>hj</w:t>
            </w:r>
            <w:proofErr w:type="spellEnd"/>
            <w:r w:rsidRPr="00F96011">
              <w:t xml:space="preserve">) </w:t>
            </w:r>
          </w:p>
        </w:tc>
      </w:tr>
      <w:tr w:rsidR="00F96011" w:rsidRPr="00F96011" w14:paraId="016A6FE5" w14:textId="77777777" w:rsidTr="009545F9">
        <w:tc>
          <w:tcPr>
            <w:tcW w:w="998" w:type="pct"/>
            <w:tcBorders>
              <w:top w:val="single" w:sz="4" w:space="0" w:color="auto"/>
              <w:left w:val="single" w:sz="4" w:space="0" w:color="auto"/>
              <w:bottom w:val="single" w:sz="4" w:space="0" w:color="auto"/>
              <w:right w:val="single" w:sz="4" w:space="0" w:color="auto"/>
            </w:tcBorders>
            <w:hideMark/>
          </w:tcPr>
          <w:p w14:paraId="3FA0C121" w14:textId="77777777" w:rsidR="00F96011" w:rsidRPr="00F96011" w:rsidRDefault="00F96011" w:rsidP="008A6B56">
            <w:pPr>
              <w:spacing w:line="240" w:lineRule="auto"/>
              <w:rPr>
                <w:b/>
                <w:bCs/>
              </w:rPr>
            </w:pPr>
            <w:r w:rsidRPr="00F96011">
              <w:rPr>
                <w:b/>
                <w:bCs/>
              </w:rPr>
              <w:t>Méthode de collecte</w:t>
            </w:r>
          </w:p>
        </w:tc>
        <w:tc>
          <w:tcPr>
            <w:tcW w:w="4002" w:type="pct"/>
            <w:gridSpan w:val="3"/>
            <w:tcBorders>
              <w:top w:val="single" w:sz="4" w:space="0" w:color="auto"/>
              <w:left w:val="single" w:sz="4" w:space="0" w:color="auto"/>
              <w:bottom w:val="single" w:sz="4" w:space="0" w:color="auto"/>
              <w:right w:val="single" w:sz="4" w:space="0" w:color="auto"/>
            </w:tcBorders>
            <w:hideMark/>
          </w:tcPr>
          <w:p w14:paraId="151DF7AB" w14:textId="77777777" w:rsidR="00F96011" w:rsidRPr="00F96011" w:rsidRDefault="00F96011" w:rsidP="008A6B56">
            <w:pPr>
              <w:spacing w:line="240" w:lineRule="auto"/>
              <w:jc w:val="both"/>
            </w:pPr>
            <w:r w:rsidRPr="00F96011">
              <w:t xml:space="preserve">Dans les plans d’aménagement (s’il y en a), les superficies initiales des forêts et reboisement à vocation énergétique y sont normalement disponibles. </w:t>
            </w:r>
          </w:p>
          <w:p w14:paraId="39B30515" w14:textId="77777777" w:rsidR="00F96011" w:rsidRPr="00F96011" w:rsidRDefault="00F96011" w:rsidP="008A6B56">
            <w:pPr>
              <w:spacing w:line="240" w:lineRule="auto"/>
              <w:jc w:val="both"/>
            </w:pPr>
            <w:r w:rsidRPr="00F96011">
              <w:t xml:space="preserve">Les réalisations d’après seront obtenues par les déclarations des initiateurs en reboisement et reforestation forestière au niveau cantonnement. </w:t>
            </w:r>
          </w:p>
          <w:p w14:paraId="23D6C5AE" w14:textId="77777777" w:rsidR="00F96011" w:rsidRPr="00F96011" w:rsidRDefault="00F96011" w:rsidP="008A6B56">
            <w:pPr>
              <w:spacing w:line="240" w:lineRule="auto"/>
              <w:jc w:val="both"/>
            </w:pPr>
            <w:r w:rsidRPr="00F96011">
              <w:t>Des descentes sur terrain organisées par le service des forêts sont donc nécessaires pour confirmer la situation.</w:t>
            </w:r>
          </w:p>
        </w:tc>
      </w:tr>
      <w:tr w:rsidR="00F96011" w:rsidRPr="00F96011" w14:paraId="3E181DBB" w14:textId="77777777" w:rsidTr="009545F9">
        <w:tc>
          <w:tcPr>
            <w:tcW w:w="998" w:type="pct"/>
            <w:vMerge w:val="restart"/>
            <w:tcBorders>
              <w:top w:val="single" w:sz="4" w:space="0" w:color="auto"/>
              <w:left w:val="single" w:sz="4" w:space="0" w:color="auto"/>
              <w:bottom w:val="single" w:sz="4" w:space="0" w:color="auto"/>
              <w:right w:val="single" w:sz="4" w:space="0" w:color="auto"/>
            </w:tcBorders>
            <w:hideMark/>
          </w:tcPr>
          <w:p w14:paraId="6B5342D6" w14:textId="77777777" w:rsidR="00F96011" w:rsidRPr="00F96011" w:rsidRDefault="00F96011" w:rsidP="008A6B56">
            <w:pPr>
              <w:spacing w:line="240" w:lineRule="auto"/>
              <w:rPr>
                <w:b/>
                <w:bCs/>
              </w:rPr>
            </w:pPr>
            <w:r w:rsidRPr="00F96011">
              <w:rPr>
                <w:b/>
                <w:bCs/>
              </w:rPr>
              <w:t xml:space="preserve">Méthode de calcul </w:t>
            </w:r>
          </w:p>
        </w:tc>
        <w:tc>
          <w:tcPr>
            <w:tcW w:w="2001" w:type="pct"/>
            <w:gridSpan w:val="2"/>
            <w:tcBorders>
              <w:top w:val="single" w:sz="4" w:space="0" w:color="auto"/>
              <w:left w:val="single" w:sz="4" w:space="0" w:color="auto"/>
              <w:bottom w:val="nil"/>
              <w:right w:val="nil"/>
            </w:tcBorders>
            <w:hideMark/>
          </w:tcPr>
          <w:p w14:paraId="7437F0BE" w14:textId="77777777" w:rsidR="00F96011" w:rsidRPr="00F96011" w:rsidRDefault="00F96011" w:rsidP="008A6B56">
            <w:pPr>
              <w:spacing w:line="240" w:lineRule="auto"/>
              <w:jc w:val="right"/>
              <w:rPr>
                <w:i/>
                <w:iCs/>
                <w:sz w:val="20"/>
                <w:szCs w:val="20"/>
              </w:rPr>
            </w:pPr>
            <w:r w:rsidRPr="00F96011">
              <w:rPr>
                <w:i/>
                <w:iCs/>
                <w:sz w:val="20"/>
                <w:szCs w:val="20"/>
              </w:rPr>
              <w:t>Cumul Surface de forêt naturelle à vocation énergétique</w:t>
            </w:r>
          </w:p>
        </w:tc>
        <w:tc>
          <w:tcPr>
            <w:tcW w:w="2001" w:type="pct"/>
            <w:tcBorders>
              <w:top w:val="single" w:sz="4" w:space="0" w:color="auto"/>
              <w:left w:val="nil"/>
              <w:bottom w:val="nil"/>
              <w:right w:val="single" w:sz="4" w:space="0" w:color="auto"/>
            </w:tcBorders>
            <w:hideMark/>
          </w:tcPr>
          <w:p w14:paraId="2084F7DC" w14:textId="0E0BD7BA" w:rsidR="00F96011" w:rsidRDefault="00F96011" w:rsidP="008A6B56">
            <w:pPr>
              <w:spacing w:line="240" w:lineRule="auto"/>
              <w:rPr>
                <w:i/>
                <w:iCs/>
                <w:sz w:val="20"/>
                <w:szCs w:val="20"/>
              </w:rPr>
            </w:pPr>
            <w:r w:rsidRPr="00F96011">
              <w:rPr>
                <w:i/>
                <w:iCs/>
                <w:sz w:val="20"/>
                <w:szCs w:val="20"/>
              </w:rPr>
              <w:t>= Surface de forêt naturelle à vocation énergétique existante + Cumul Surface de nouvelle forêt naturelle restaurée à vocation énergétique</w:t>
            </w:r>
          </w:p>
          <w:p w14:paraId="775FB0D1" w14:textId="77777777" w:rsidR="00D626C2" w:rsidRDefault="00D626C2" w:rsidP="008A6B56">
            <w:pPr>
              <w:spacing w:line="240" w:lineRule="auto"/>
              <w:rPr>
                <w:i/>
                <w:iCs/>
                <w:sz w:val="20"/>
                <w:szCs w:val="20"/>
              </w:rPr>
            </w:pPr>
          </w:p>
          <w:p w14:paraId="211BAF13" w14:textId="670AB314" w:rsidR="009545F9" w:rsidRPr="00F96011" w:rsidRDefault="009545F9" w:rsidP="008A6B56">
            <w:pPr>
              <w:spacing w:line="240" w:lineRule="auto"/>
              <w:rPr>
                <w:i/>
                <w:iCs/>
                <w:sz w:val="20"/>
                <w:szCs w:val="20"/>
              </w:rPr>
            </w:pPr>
          </w:p>
        </w:tc>
      </w:tr>
      <w:tr w:rsidR="00F96011" w:rsidRPr="00F96011" w14:paraId="297371C6" w14:textId="77777777" w:rsidTr="009545F9">
        <w:tc>
          <w:tcPr>
            <w:tcW w:w="0" w:type="auto"/>
            <w:vMerge/>
            <w:tcBorders>
              <w:top w:val="single" w:sz="4" w:space="0" w:color="auto"/>
              <w:left w:val="single" w:sz="4" w:space="0" w:color="auto"/>
              <w:bottom w:val="single" w:sz="4" w:space="0" w:color="auto"/>
              <w:right w:val="single" w:sz="4" w:space="0" w:color="auto"/>
            </w:tcBorders>
            <w:vAlign w:val="center"/>
            <w:hideMark/>
          </w:tcPr>
          <w:p w14:paraId="3E3960C1" w14:textId="77777777" w:rsidR="00F96011" w:rsidRPr="00F96011" w:rsidRDefault="00F96011" w:rsidP="008A6B56">
            <w:pPr>
              <w:spacing w:line="240" w:lineRule="auto"/>
              <w:rPr>
                <w:b/>
                <w:bCs/>
              </w:rPr>
            </w:pPr>
            <w:bookmarkStart w:id="10" w:name="_Hlk74663514" w:colFirst="1" w:colLast="3"/>
          </w:p>
        </w:tc>
        <w:tc>
          <w:tcPr>
            <w:tcW w:w="2001" w:type="pct"/>
            <w:gridSpan w:val="2"/>
            <w:tcBorders>
              <w:top w:val="nil"/>
              <w:left w:val="single" w:sz="4" w:space="0" w:color="auto"/>
              <w:bottom w:val="single" w:sz="4" w:space="0" w:color="auto"/>
              <w:right w:val="nil"/>
            </w:tcBorders>
            <w:hideMark/>
          </w:tcPr>
          <w:p w14:paraId="3A41B371" w14:textId="77777777" w:rsidR="00F96011" w:rsidRPr="00F96011" w:rsidRDefault="00F96011" w:rsidP="008A6B56">
            <w:pPr>
              <w:spacing w:line="240" w:lineRule="auto"/>
              <w:jc w:val="right"/>
              <w:rPr>
                <w:i/>
                <w:iCs/>
                <w:color w:val="00B050"/>
                <w:sz w:val="20"/>
                <w:szCs w:val="20"/>
              </w:rPr>
            </w:pPr>
            <w:r w:rsidRPr="00F96011">
              <w:rPr>
                <w:i/>
                <w:iCs/>
                <w:sz w:val="20"/>
                <w:szCs w:val="20"/>
              </w:rPr>
              <w:t xml:space="preserve">Potentiel en bois énergie des forêts naturelles </w:t>
            </w:r>
          </w:p>
        </w:tc>
        <w:tc>
          <w:tcPr>
            <w:tcW w:w="2001" w:type="pct"/>
            <w:tcBorders>
              <w:top w:val="nil"/>
              <w:left w:val="nil"/>
              <w:bottom w:val="single" w:sz="4" w:space="0" w:color="auto"/>
              <w:right w:val="single" w:sz="4" w:space="0" w:color="auto"/>
            </w:tcBorders>
            <w:hideMark/>
          </w:tcPr>
          <w:p w14:paraId="058DBC0A" w14:textId="77777777" w:rsidR="00F96011" w:rsidRPr="00F96011" w:rsidRDefault="00F96011" w:rsidP="008A6B56">
            <w:pPr>
              <w:spacing w:line="240" w:lineRule="auto"/>
              <w:rPr>
                <w:i/>
                <w:iCs/>
                <w:sz w:val="20"/>
                <w:szCs w:val="20"/>
              </w:rPr>
            </w:pPr>
            <w:r w:rsidRPr="00F96011">
              <w:rPr>
                <w:i/>
                <w:iCs/>
                <w:sz w:val="20"/>
                <w:szCs w:val="20"/>
              </w:rPr>
              <w:t>= Cumul Surface de forêt naturelle à vocation énergétique - Surface de forêt naturelle à vocation énergétique détruite</w:t>
            </w:r>
          </w:p>
        </w:tc>
      </w:tr>
      <w:bookmarkEnd w:id="10"/>
      <w:tr w:rsidR="00F96011" w:rsidRPr="00F96011" w14:paraId="29C0D30E"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4CE07DDD" w14:textId="77777777" w:rsidR="00F96011" w:rsidRPr="00F96011" w:rsidRDefault="00F96011" w:rsidP="008A6B56">
            <w:pPr>
              <w:spacing w:line="240" w:lineRule="auto"/>
              <w:rPr>
                <w:b/>
                <w:bCs/>
              </w:rPr>
            </w:pPr>
            <w:r w:rsidRPr="00F96011">
              <w:rPr>
                <w:b/>
                <w:bCs/>
              </w:rPr>
              <w:t>Unité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5B496552" w14:textId="422906A8" w:rsidR="00F96011" w:rsidRPr="00F96011" w:rsidRDefault="00DB0B2E" w:rsidP="008A6B56">
            <w:pPr>
              <w:spacing w:line="240" w:lineRule="auto"/>
            </w:pPr>
            <w:r>
              <w:t>H</w:t>
            </w:r>
            <w:r w:rsidR="00F96011" w:rsidRPr="00F96011">
              <w:t>a</w:t>
            </w:r>
          </w:p>
        </w:tc>
      </w:tr>
      <w:tr w:rsidR="00F96011" w:rsidRPr="00F96011" w14:paraId="547F967C"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656D98E0" w14:textId="77777777" w:rsidR="00F96011" w:rsidRPr="00F96011" w:rsidRDefault="00F96011" w:rsidP="008A6B56">
            <w:pPr>
              <w:spacing w:line="240" w:lineRule="auto"/>
              <w:rPr>
                <w:b/>
                <w:bCs/>
              </w:rPr>
            </w:pPr>
            <w:r w:rsidRPr="00F96011">
              <w:rPr>
                <w:b/>
                <w:bCs/>
              </w:rPr>
              <w:t>Périodicité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388EAC95" w14:textId="77777777" w:rsidR="00F96011" w:rsidRPr="00F96011" w:rsidRDefault="00F96011" w:rsidP="008A6B56">
            <w:pPr>
              <w:spacing w:line="240" w:lineRule="auto"/>
            </w:pPr>
            <w:r w:rsidRPr="00F96011">
              <w:t>Chaque année</w:t>
            </w:r>
          </w:p>
        </w:tc>
      </w:tr>
      <w:tr w:rsidR="00F96011" w:rsidRPr="00F96011" w14:paraId="175BD8BA"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3DBD0264" w14:textId="77777777" w:rsidR="00F96011" w:rsidRPr="00F96011" w:rsidRDefault="00F96011" w:rsidP="008A6B56">
            <w:pPr>
              <w:spacing w:line="240" w:lineRule="auto"/>
              <w:rPr>
                <w:b/>
                <w:bCs/>
              </w:rPr>
            </w:pPr>
            <w:r w:rsidRPr="00F96011">
              <w:rPr>
                <w:b/>
                <w:bCs/>
              </w:rPr>
              <w:t>Rapportage</w:t>
            </w:r>
          </w:p>
        </w:tc>
        <w:tc>
          <w:tcPr>
            <w:tcW w:w="4002" w:type="pct"/>
            <w:gridSpan w:val="3"/>
            <w:tcBorders>
              <w:top w:val="single" w:sz="4" w:space="0" w:color="auto"/>
              <w:left w:val="single" w:sz="4" w:space="0" w:color="auto"/>
              <w:bottom w:val="single" w:sz="4" w:space="0" w:color="auto"/>
              <w:right w:val="single" w:sz="4" w:space="0" w:color="auto"/>
            </w:tcBorders>
            <w:hideMark/>
          </w:tcPr>
          <w:p w14:paraId="17118D06"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1328F94F"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39961E3A" w14:textId="77777777" w:rsidR="00F96011" w:rsidRPr="00F96011" w:rsidRDefault="00F96011" w:rsidP="008A6B56">
            <w:pPr>
              <w:spacing w:line="240" w:lineRule="auto"/>
              <w:rPr>
                <w:b/>
                <w:bCs/>
              </w:rPr>
            </w:pPr>
            <w:r w:rsidRPr="00F96011">
              <w:rPr>
                <w:b/>
                <w:bCs/>
              </w:rPr>
              <w:t>Fiabilité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4F127BEC" w14:textId="77777777" w:rsidR="00F96011" w:rsidRPr="00F96011" w:rsidRDefault="00F96011" w:rsidP="008A6B56">
            <w:pPr>
              <w:spacing w:line="240" w:lineRule="auto"/>
            </w:pPr>
            <w:r w:rsidRPr="00F96011">
              <w:t>Bonne</w:t>
            </w:r>
          </w:p>
        </w:tc>
      </w:tr>
    </w:tbl>
    <w:p w14:paraId="02D14A23" w14:textId="2C212139" w:rsidR="0013533D" w:rsidRDefault="0013533D" w:rsidP="00863AD4">
      <w:pPr>
        <w:spacing w:line="360" w:lineRule="auto"/>
        <w:rPr>
          <w:rFonts w:ascii="Calibri" w:eastAsia="Calibri" w:hAnsi="Calibri" w:cs="Times New Roman"/>
        </w:rPr>
      </w:pPr>
    </w:p>
    <w:p w14:paraId="0E044E71" w14:textId="77777777" w:rsidR="0013533D" w:rsidRDefault="0013533D" w:rsidP="00863AD4">
      <w:pPr>
        <w:spacing w:line="360" w:lineRule="auto"/>
        <w:rPr>
          <w:rFonts w:ascii="Calibri" w:eastAsia="Calibri" w:hAnsi="Calibri" w:cs="Times New Roman"/>
        </w:rPr>
      </w:pPr>
      <w:r>
        <w:rPr>
          <w:rFonts w:ascii="Calibri" w:eastAsia="Calibri" w:hAnsi="Calibri" w:cs="Times New Roman"/>
        </w:rPr>
        <w:br w:type="page"/>
      </w:r>
    </w:p>
    <w:tbl>
      <w:tblPr>
        <w:tblStyle w:val="Grilledutableau3"/>
        <w:tblW w:w="5078" w:type="pct"/>
        <w:tblInd w:w="0" w:type="dxa"/>
        <w:tblLook w:val="04A0" w:firstRow="1" w:lastRow="0" w:firstColumn="1" w:lastColumn="0" w:noHBand="0" w:noVBand="1"/>
      </w:tblPr>
      <w:tblGrid>
        <w:gridCol w:w="1841"/>
        <w:gridCol w:w="2547"/>
        <w:gridCol w:w="1134"/>
        <w:gridCol w:w="3681"/>
      </w:tblGrid>
      <w:tr w:rsidR="00F96011" w:rsidRPr="00F96011" w14:paraId="6834E14E" w14:textId="77777777" w:rsidTr="006B3587">
        <w:trPr>
          <w:gridAfter w:val="3"/>
          <w:wAfter w:w="4000" w:type="pct"/>
        </w:trPr>
        <w:tc>
          <w:tcPr>
            <w:tcW w:w="1000" w:type="pct"/>
            <w:tcBorders>
              <w:top w:val="single" w:sz="4" w:space="0" w:color="auto"/>
              <w:left w:val="single" w:sz="4" w:space="0" w:color="auto"/>
              <w:bottom w:val="single" w:sz="4" w:space="0" w:color="auto"/>
              <w:right w:val="single" w:sz="4" w:space="0" w:color="auto"/>
            </w:tcBorders>
            <w:shd w:val="clear" w:color="auto" w:fill="FFE599"/>
            <w:hideMark/>
          </w:tcPr>
          <w:p w14:paraId="3E233855" w14:textId="77777777" w:rsidR="00F96011" w:rsidRPr="00A92FDE" w:rsidRDefault="00F96011" w:rsidP="008A6B56">
            <w:pPr>
              <w:spacing w:line="240" w:lineRule="auto"/>
              <w:rPr>
                <w:b/>
                <w:bCs/>
              </w:rPr>
            </w:pPr>
            <w:r w:rsidRPr="00A92FDE">
              <w:rPr>
                <w:b/>
                <w:bCs/>
              </w:rPr>
              <w:lastRenderedPageBreak/>
              <w:t>Fiche N° 03</w:t>
            </w:r>
          </w:p>
        </w:tc>
      </w:tr>
      <w:tr w:rsidR="00F96011" w:rsidRPr="00F96011" w14:paraId="4D0190E6" w14:textId="77777777" w:rsidTr="00F96011">
        <w:tc>
          <w:tcPr>
            <w:tcW w:w="2384" w:type="pct"/>
            <w:gridSpan w:val="2"/>
            <w:tcBorders>
              <w:top w:val="single" w:sz="4" w:space="0" w:color="auto"/>
              <w:left w:val="single" w:sz="4" w:space="0" w:color="auto"/>
              <w:bottom w:val="single" w:sz="4" w:space="0" w:color="auto"/>
              <w:right w:val="single" w:sz="4" w:space="0" w:color="auto"/>
            </w:tcBorders>
            <w:shd w:val="clear" w:color="auto" w:fill="FFE599"/>
            <w:hideMark/>
          </w:tcPr>
          <w:p w14:paraId="4FB451AA" w14:textId="20CA3BC6" w:rsidR="00F96011" w:rsidRPr="00F96011" w:rsidRDefault="00F96011" w:rsidP="008A6B56">
            <w:pPr>
              <w:spacing w:line="240" w:lineRule="auto"/>
              <w:rPr>
                <w:b/>
                <w:bCs/>
              </w:rPr>
            </w:pPr>
            <w:r w:rsidRPr="00F96011">
              <w:t>Offre potentielle en</w:t>
            </w:r>
            <w:r w:rsidRPr="00F96011">
              <w:rPr>
                <w:b/>
                <w:bCs/>
              </w:rPr>
              <w:t xml:space="preserve"> </w:t>
            </w:r>
            <w:r w:rsidR="00C76BB3">
              <w:t>bois énergie</w:t>
            </w:r>
            <w:r w:rsidRPr="00F96011">
              <w:rPr>
                <w:b/>
                <w:bCs/>
              </w:rPr>
              <w:t xml:space="preserve"> </w:t>
            </w:r>
          </w:p>
        </w:tc>
        <w:tc>
          <w:tcPr>
            <w:tcW w:w="2616"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53ADC8EA" w14:textId="65D0FF7B" w:rsidR="00F96011" w:rsidRPr="00F96011" w:rsidRDefault="009545F9" w:rsidP="008A6B56">
            <w:pPr>
              <w:pStyle w:val="Titre2"/>
              <w:spacing w:line="240" w:lineRule="auto"/>
              <w:outlineLvl w:val="1"/>
            </w:pPr>
            <w:bookmarkStart w:id="11" w:name="_Toc75162451"/>
            <w:r>
              <w:t>Superficie p</w:t>
            </w:r>
            <w:r w:rsidR="00F96011" w:rsidRPr="00F96011">
              <w:t>otentiel</w:t>
            </w:r>
            <w:r>
              <w:t>le</w:t>
            </w:r>
            <w:r w:rsidR="00F96011" w:rsidRPr="00F96011">
              <w:t xml:space="preserve"> en </w:t>
            </w:r>
            <w:r w:rsidR="00C76BB3">
              <w:t>bois énergie</w:t>
            </w:r>
            <w:r w:rsidR="00F96011" w:rsidRPr="00F96011">
              <w:t xml:space="preserve"> de</w:t>
            </w:r>
            <w:r w:rsidR="00CB6946">
              <w:t>s</w:t>
            </w:r>
            <w:r w:rsidR="00F96011" w:rsidRPr="00F96011">
              <w:t xml:space="preserve"> reboisement</w:t>
            </w:r>
            <w:r w:rsidR="00CB6946">
              <w:t>s</w:t>
            </w:r>
            <w:bookmarkEnd w:id="11"/>
          </w:p>
        </w:tc>
      </w:tr>
      <w:tr w:rsidR="00F96011" w:rsidRPr="00F96011" w14:paraId="13FCA144"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5020A3DE" w14:textId="77777777" w:rsidR="00F96011" w:rsidRPr="00F96011" w:rsidRDefault="00F96011" w:rsidP="008A6B56">
            <w:pPr>
              <w:spacing w:line="240" w:lineRule="auto"/>
              <w:rPr>
                <w:b/>
                <w:bCs/>
              </w:rPr>
            </w:pPr>
            <w:r w:rsidRPr="00F96011">
              <w:rPr>
                <w:b/>
                <w:bCs/>
              </w:rPr>
              <w:t>Description</w:t>
            </w:r>
          </w:p>
        </w:tc>
        <w:tc>
          <w:tcPr>
            <w:tcW w:w="4000" w:type="pct"/>
            <w:gridSpan w:val="3"/>
            <w:tcBorders>
              <w:top w:val="single" w:sz="4" w:space="0" w:color="auto"/>
              <w:left w:val="single" w:sz="4" w:space="0" w:color="auto"/>
              <w:bottom w:val="single" w:sz="4" w:space="0" w:color="auto"/>
              <w:right w:val="single" w:sz="4" w:space="0" w:color="auto"/>
            </w:tcBorders>
            <w:hideMark/>
          </w:tcPr>
          <w:p w14:paraId="0F3B4D19" w14:textId="77777777" w:rsidR="00F96011" w:rsidRPr="00F96011" w:rsidRDefault="00F96011" w:rsidP="008A6B56">
            <w:pPr>
              <w:spacing w:line="240" w:lineRule="auto"/>
              <w:jc w:val="both"/>
            </w:pPr>
            <w:r w:rsidRPr="00F96011">
              <w:t xml:space="preserve">Il s’agit d’avoir une connaissance sur les initiatives et activités déployées pour maintenir la source en bois énergie dans une localité donnée. Il s’agit de connaître si les réalisations de reboisement tendent à honorer l’objectif national fixé. </w:t>
            </w:r>
          </w:p>
          <w:p w14:paraId="71097C90" w14:textId="77777777" w:rsidR="00F96011" w:rsidRPr="00F96011" w:rsidRDefault="00F96011" w:rsidP="008A6B56">
            <w:pPr>
              <w:spacing w:line="240" w:lineRule="auto"/>
            </w:pPr>
            <w:r w:rsidRPr="00F96011">
              <w:t xml:space="preserve">Cet indicateur donne les informations sur l’évolution de la ressource en bois énergie au niveau district, région et national tout en tenant compte des initiatives antérieures et des nouveaux reboisements à vocation énergétique. </w:t>
            </w:r>
          </w:p>
        </w:tc>
      </w:tr>
      <w:tr w:rsidR="00F96011" w:rsidRPr="00F96011" w14:paraId="5C74F3A4"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5DC37868" w14:textId="77777777" w:rsidR="00F96011" w:rsidRPr="00F96011" w:rsidRDefault="00F96011" w:rsidP="008A6B56">
            <w:pPr>
              <w:spacing w:line="240" w:lineRule="auto"/>
              <w:rPr>
                <w:b/>
                <w:bCs/>
              </w:rPr>
            </w:pPr>
            <w:r w:rsidRPr="00F96011">
              <w:rPr>
                <w:b/>
                <w:bCs/>
              </w:rPr>
              <w:t>Indicateurs associés</w:t>
            </w:r>
          </w:p>
        </w:tc>
        <w:tc>
          <w:tcPr>
            <w:tcW w:w="4000" w:type="pct"/>
            <w:gridSpan w:val="3"/>
            <w:tcBorders>
              <w:top w:val="single" w:sz="4" w:space="0" w:color="auto"/>
              <w:left w:val="single" w:sz="4" w:space="0" w:color="auto"/>
              <w:bottom w:val="single" w:sz="4" w:space="0" w:color="auto"/>
              <w:right w:val="single" w:sz="4" w:space="0" w:color="auto"/>
            </w:tcBorders>
            <w:hideMark/>
          </w:tcPr>
          <w:p w14:paraId="2EEF0B4B" w14:textId="77777777" w:rsidR="00F96011" w:rsidRPr="00F96011" w:rsidRDefault="00F96011" w:rsidP="008A6B56">
            <w:pPr>
              <w:spacing w:line="240" w:lineRule="auto"/>
              <w:jc w:val="both"/>
            </w:pPr>
            <w:r w:rsidRPr="00F96011">
              <w:t>- Suivis et contrôles des reboisements</w:t>
            </w:r>
          </w:p>
          <w:p w14:paraId="23910A19" w14:textId="77777777" w:rsidR="00F96011" w:rsidRPr="00F96011" w:rsidRDefault="00F96011" w:rsidP="008A6B56">
            <w:pPr>
              <w:spacing w:line="240" w:lineRule="auto"/>
              <w:jc w:val="both"/>
            </w:pPr>
            <w:r w:rsidRPr="00F96011">
              <w:t>- Surface de nouveaux reboisements à vocation énergétique</w:t>
            </w:r>
          </w:p>
          <w:p w14:paraId="0E3D305C" w14:textId="77777777" w:rsidR="00F96011" w:rsidRPr="00F96011" w:rsidRDefault="00F96011" w:rsidP="008A6B56">
            <w:pPr>
              <w:spacing w:line="240" w:lineRule="auto"/>
              <w:jc w:val="both"/>
            </w:pPr>
            <w:r w:rsidRPr="00F96011">
              <w:t>- Surface forêt de reboisement à vocation énergétique détruite</w:t>
            </w:r>
          </w:p>
        </w:tc>
      </w:tr>
      <w:tr w:rsidR="00F96011" w:rsidRPr="00F96011" w14:paraId="2FEFBE58"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0DB3B997" w14:textId="77777777" w:rsidR="00F96011" w:rsidRPr="00F96011" w:rsidRDefault="00F96011" w:rsidP="008A6B56">
            <w:pPr>
              <w:spacing w:line="240" w:lineRule="auto"/>
              <w:rPr>
                <w:b/>
                <w:bCs/>
              </w:rPr>
            </w:pPr>
            <w:r w:rsidRPr="00F96011">
              <w:rPr>
                <w:b/>
                <w:bCs/>
              </w:rPr>
              <w:t>Fiche de collecte correspondante</w:t>
            </w:r>
          </w:p>
        </w:tc>
        <w:tc>
          <w:tcPr>
            <w:tcW w:w="4000" w:type="pct"/>
            <w:gridSpan w:val="3"/>
            <w:tcBorders>
              <w:top w:val="single" w:sz="4" w:space="0" w:color="auto"/>
              <w:left w:val="single" w:sz="4" w:space="0" w:color="auto"/>
              <w:bottom w:val="single" w:sz="4" w:space="0" w:color="auto"/>
              <w:right w:val="single" w:sz="4" w:space="0" w:color="auto"/>
            </w:tcBorders>
            <w:hideMark/>
          </w:tcPr>
          <w:p w14:paraId="42E3959F" w14:textId="77777777" w:rsidR="00F96011" w:rsidRPr="00F96011" w:rsidRDefault="00F96011" w:rsidP="008A6B56">
            <w:pPr>
              <w:spacing w:line="240" w:lineRule="auto"/>
              <w:jc w:val="both"/>
              <w:rPr>
                <w:i/>
                <w:iCs/>
              </w:rPr>
            </w:pPr>
            <w:r w:rsidRPr="00F96011">
              <w:rPr>
                <w:i/>
                <w:iCs/>
              </w:rPr>
              <w:t>Fiche de collecte des données sur le potentiel en bois énergie des reboisements</w:t>
            </w:r>
          </w:p>
        </w:tc>
      </w:tr>
      <w:tr w:rsidR="00F96011" w:rsidRPr="00F96011" w14:paraId="7EE140C5"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1B65F7AF" w14:textId="77777777" w:rsidR="00F96011" w:rsidRPr="00F96011" w:rsidRDefault="00F96011" w:rsidP="008A6B56">
            <w:pPr>
              <w:spacing w:line="240" w:lineRule="auto"/>
              <w:rPr>
                <w:b/>
                <w:bCs/>
              </w:rPr>
            </w:pPr>
            <w:r w:rsidRPr="00F96011">
              <w:rPr>
                <w:b/>
                <w:bCs/>
              </w:rPr>
              <w:t>Paramètres mis en jeu (données à collecter)</w:t>
            </w:r>
          </w:p>
        </w:tc>
        <w:tc>
          <w:tcPr>
            <w:tcW w:w="4000" w:type="pct"/>
            <w:gridSpan w:val="3"/>
            <w:tcBorders>
              <w:top w:val="single" w:sz="4" w:space="0" w:color="auto"/>
              <w:left w:val="single" w:sz="4" w:space="0" w:color="auto"/>
              <w:bottom w:val="single" w:sz="4" w:space="0" w:color="auto"/>
              <w:right w:val="single" w:sz="4" w:space="0" w:color="auto"/>
            </w:tcBorders>
            <w:hideMark/>
          </w:tcPr>
          <w:p w14:paraId="31DBB384" w14:textId="77777777" w:rsidR="00F96011" w:rsidRPr="00F96011" w:rsidRDefault="00F96011" w:rsidP="008A6B56">
            <w:pPr>
              <w:spacing w:line="240" w:lineRule="auto"/>
            </w:pPr>
            <w:r w:rsidRPr="00F96011">
              <w:t xml:space="preserve">- Nom du propriétaire du terrain </w:t>
            </w:r>
          </w:p>
          <w:p w14:paraId="5482989B" w14:textId="77777777" w:rsidR="00F96011" w:rsidRPr="00F96011" w:rsidRDefault="00F96011" w:rsidP="008A6B56">
            <w:pPr>
              <w:spacing w:line="240" w:lineRule="auto"/>
            </w:pPr>
            <w:r w:rsidRPr="00F96011">
              <w:t>- Genre</w:t>
            </w:r>
          </w:p>
          <w:p w14:paraId="3125615B" w14:textId="77777777" w:rsidR="00F96011" w:rsidRPr="00F96011" w:rsidRDefault="00F96011" w:rsidP="008A6B56">
            <w:pPr>
              <w:spacing w:line="240" w:lineRule="auto"/>
            </w:pPr>
            <w:r w:rsidRPr="00F96011">
              <w:t>- Superficie (ha) </w:t>
            </w:r>
          </w:p>
          <w:p w14:paraId="02149AE2" w14:textId="77777777" w:rsidR="00F96011" w:rsidRPr="00F96011" w:rsidRDefault="00F96011" w:rsidP="008A6B56">
            <w:pPr>
              <w:spacing w:line="240" w:lineRule="auto"/>
            </w:pPr>
            <w:r w:rsidRPr="00F96011">
              <w:t xml:space="preserve">- Nom GPX correspondant </w:t>
            </w:r>
          </w:p>
          <w:p w14:paraId="6B8673C4" w14:textId="77777777" w:rsidR="00F96011" w:rsidRPr="00F96011" w:rsidRDefault="00F96011" w:rsidP="008A6B56">
            <w:pPr>
              <w:spacing w:line="240" w:lineRule="auto"/>
            </w:pPr>
            <w:r w:rsidRPr="00F96011">
              <w:t>- Année de plantation </w:t>
            </w:r>
          </w:p>
          <w:p w14:paraId="201411BB" w14:textId="77777777" w:rsidR="00F96011" w:rsidRPr="00F96011" w:rsidRDefault="00F96011" w:rsidP="008A6B56">
            <w:pPr>
              <w:spacing w:line="240" w:lineRule="auto"/>
            </w:pPr>
            <w:r w:rsidRPr="00F96011">
              <w:t>- Acteurs/Opérateurs (institution, individuel, communautaire, ...) </w:t>
            </w:r>
          </w:p>
          <w:p w14:paraId="3CF8F027" w14:textId="77777777" w:rsidR="00F96011" w:rsidRPr="00F96011" w:rsidRDefault="00F96011" w:rsidP="008A6B56">
            <w:pPr>
              <w:spacing w:line="240" w:lineRule="auto"/>
            </w:pPr>
            <w:r w:rsidRPr="00F96011">
              <w:t>- Protection du reboisement (Pare-feu, Clôture, panneau, Dina, …)</w:t>
            </w:r>
          </w:p>
          <w:p w14:paraId="3521CB01" w14:textId="77777777" w:rsidR="00F96011" w:rsidRPr="00F96011" w:rsidRDefault="00F96011" w:rsidP="008A6B56">
            <w:pPr>
              <w:spacing w:line="240" w:lineRule="auto"/>
            </w:pPr>
            <w:r w:rsidRPr="00F96011">
              <w:t xml:space="preserve">- Surface de reboisement détruit </w:t>
            </w:r>
          </w:p>
          <w:p w14:paraId="6C75C019" w14:textId="77777777" w:rsidR="00F96011" w:rsidRPr="00F96011" w:rsidRDefault="00F96011" w:rsidP="008A6B56">
            <w:pPr>
              <w:spacing w:line="240" w:lineRule="auto"/>
            </w:pPr>
            <w:r w:rsidRPr="00F96011">
              <w:t xml:space="preserve">- Type Culture </w:t>
            </w:r>
          </w:p>
          <w:p w14:paraId="7C577E02" w14:textId="77777777" w:rsidR="00F96011" w:rsidRPr="00F96011" w:rsidRDefault="00F96011" w:rsidP="008A6B56">
            <w:pPr>
              <w:spacing w:line="240" w:lineRule="auto"/>
            </w:pPr>
            <w:r w:rsidRPr="00F96011">
              <w:t>- Essences utilisées </w:t>
            </w:r>
          </w:p>
          <w:p w14:paraId="438A078A" w14:textId="77777777" w:rsidR="00F96011" w:rsidRPr="00F96011" w:rsidRDefault="00F96011" w:rsidP="008A6B56">
            <w:pPr>
              <w:spacing w:line="240" w:lineRule="auto"/>
            </w:pPr>
            <w:r w:rsidRPr="00F96011">
              <w:t xml:space="preserve">- Provenance semence </w:t>
            </w:r>
          </w:p>
          <w:p w14:paraId="215019DE" w14:textId="77777777" w:rsidR="00F96011" w:rsidRPr="00F96011" w:rsidRDefault="00F96011" w:rsidP="008A6B56">
            <w:pPr>
              <w:spacing w:line="240" w:lineRule="auto"/>
            </w:pPr>
            <w:r w:rsidRPr="00F96011">
              <w:t xml:space="preserve">- Travail du sol </w:t>
            </w:r>
          </w:p>
          <w:p w14:paraId="18FD203C" w14:textId="77777777" w:rsidR="00F96011" w:rsidRPr="00F96011" w:rsidRDefault="00F96011" w:rsidP="008A6B56">
            <w:pPr>
              <w:spacing w:line="240" w:lineRule="auto"/>
            </w:pPr>
            <w:r w:rsidRPr="00F96011">
              <w:t>- Densité (nombre de pieds par ha)</w:t>
            </w:r>
          </w:p>
          <w:p w14:paraId="41CA5552" w14:textId="77777777" w:rsidR="00F96011" w:rsidRPr="00F96011" w:rsidRDefault="00F96011" w:rsidP="008A6B56">
            <w:pPr>
              <w:spacing w:line="240" w:lineRule="auto"/>
            </w:pPr>
            <w:r w:rsidRPr="00F96011">
              <w:t>- Fertilisant</w:t>
            </w:r>
          </w:p>
          <w:p w14:paraId="0A37F51F" w14:textId="77777777" w:rsidR="00F96011" w:rsidRPr="00F96011" w:rsidRDefault="00F96011" w:rsidP="008A6B56">
            <w:pPr>
              <w:spacing w:line="240" w:lineRule="auto"/>
            </w:pPr>
            <w:r w:rsidRPr="00F96011">
              <w:t>- Productivité</w:t>
            </w:r>
          </w:p>
          <w:p w14:paraId="1FC360EF" w14:textId="77777777" w:rsidR="00F96011" w:rsidRPr="00F96011" w:rsidRDefault="00F96011" w:rsidP="008A6B56">
            <w:pPr>
              <w:spacing w:line="240" w:lineRule="auto"/>
            </w:pPr>
            <w:r w:rsidRPr="00F96011">
              <w:t>- Nom de l’organisme d’appui si existe</w:t>
            </w:r>
          </w:p>
          <w:p w14:paraId="256A6CEB" w14:textId="77777777" w:rsidR="00F96011" w:rsidRPr="00F96011" w:rsidRDefault="00F96011" w:rsidP="008A6B56">
            <w:pPr>
              <w:spacing w:line="240" w:lineRule="auto"/>
            </w:pPr>
            <w:r w:rsidRPr="00F96011">
              <w:t>- Nombre de contrôle et suivi effectué par l’administration forestière par an (</w:t>
            </w:r>
            <w:proofErr w:type="spellStart"/>
            <w:r w:rsidRPr="00F96011">
              <w:t>Hj</w:t>
            </w:r>
            <w:proofErr w:type="spellEnd"/>
            <w:r w:rsidRPr="00F96011">
              <w:t>)</w:t>
            </w:r>
          </w:p>
        </w:tc>
      </w:tr>
      <w:tr w:rsidR="00F96011" w:rsidRPr="00F96011" w14:paraId="070E7546"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227EB7C2" w14:textId="77777777" w:rsidR="00F96011" w:rsidRPr="00F96011" w:rsidRDefault="00F96011" w:rsidP="008A6B56">
            <w:pPr>
              <w:spacing w:line="240" w:lineRule="auto"/>
              <w:rPr>
                <w:b/>
                <w:bCs/>
              </w:rPr>
            </w:pPr>
            <w:r w:rsidRPr="00F96011">
              <w:rPr>
                <w:b/>
                <w:bCs/>
              </w:rPr>
              <w:t>Méthode de collecte</w:t>
            </w:r>
          </w:p>
        </w:tc>
        <w:tc>
          <w:tcPr>
            <w:tcW w:w="4000" w:type="pct"/>
            <w:gridSpan w:val="3"/>
            <w:tcBorders>
              <w:top w:val="single" w:sz="4" w:space="0" w:color="auto"/>
              <w:left w:val="single" w:sz="4" w:space="0" w:color="auto"/>
              <w:bottom w:val="single" w:sz="4" w:space="0" w:color="auto"/>
              <w:right w:val="single" w:sz="4" w:space="0" w:color="auto"/>
            </w:tcBorders>
            <w:hideMark/>
          </w:tcPr>
          <w:p w14:paraId="725C606B" w14:textId="77777777" w:rsidR="00F96011" w:rsidRPr="00F96011" w:rsidRDefault="00F96011" w:rsidP="008A6B56">
            <w:pPr>
              <w:spacing w:line="240" w:lineRule="auto"/>
              <w:jc w:val="both"/>
            </w:pPr>
            <w:r w:rsidRPr="00F96011">
              <w:t xml:space="preserve">Dans les plans d’aménagement (s’il y en a), les superficies initiales des forêts et reboisement à vocation énergétique y sont normalement disponibles. </w:t>
            </w:r>
          </w:p>
          <w:p w14:paraId="5CEBEBFF" w14:textId="77777777" w:rsidR="00F96011" w:rsidRPr="00F96011" w:rsidRDefault="00F96011" w:rsidP="008A6B56">
            <w:pPr>
              <w:spacing w:line="240" w:lineRule="auto"/>
              <w:jc w:val="both"/>
            </w:pPr>
            <w:r w:rsidRPr="00F96011">
              <w:t xml:space="preserve">Les réalisations d’après seront obtenues par les déclarations des initiateurs en reboisement et reforestation forestière au niveau cantonnement. </w:t>
            </w:r>
          </w:p>
          <w:p w14:paraId="61C96AAE" w14:textId="77777777" w:rsidR="00F96011" w:rsidRPr="00F96011" w:rsidRDefault="00F96011" w:rsidP="008A6B56">
            <w:pPr>
              <w:spacing w:line="240" w:lineRule="auto"/>
              <w:jc w:val="both"/>
            </w:pPr>
            <w:r w:rsidRPr="00F96011">
              <w:t>Des descentes sur terrain organisées par le service des forêts sont donc nécessaires pour confirmer la situation.</w:t>
            </w:r>
          </w:p>
        </w:tc>
      </w:tr>
      <w:tr w:rsidR="00F96011" w:rsidRPr="00F96011" w14:paraId="781106EF" w14:textId="77777777" w:rsidTr="00F96011">
        <w:trPr>
          <w:trHeight w:val="624"/>
        </w:trPr>
        <w:tc>
          <w:tcPr>
            <w:tcW w:w="1000" w:type="pct"/>
            <w:vMerge w:val="restart"/>
            <w:tcBorders>
              <w:top w:val="single" w:sz="4" w:space="0" w:color="auto"/>
              <w:left w:val="single" w:sz="4" w:space="0" w:color="auto"/>
              <w:bottom w:val="single" w:sz="4" w:space="0" w:color="auto"/>
              <w:right w:val="single" w:sz="4" w:space="0" w:color="auto"/>
            </w:tcBorders>
            <w:hideMark/>
          </w:tcPr>
          <w:p w14:paraId="50B5ACA9" w14:textId="77777777" w:rsidR="00F96011" w:rsidRPr="00F96011" w:rsidRDefault="00F96011" w:rsidP="008A6B56">
            <w:pPr>
              <w:spacing w:line="240" w:lineRule="auto"/>
              <w:rPr>
                <w:b/>
                <w:bCs/>
              </w:rPr>
            </w:pPr>
            <w:r w:rsidRPr="00F96011">
              <w:rPr>
                <w:b/>
                <w:bCs/>
              </w:rPr>
              <w:t xml:space="preserve">Méthode de calcul </w:t>
            </w:r>
          </w:p>
        </w:tc>
        <w:tc>
          <w:tcPr>
            <w:tcW w:w="2000" w:type="pct"/>
            <w:gridSpan w:val="2"/>
            <w:tcBorders>
              <w:top w:val="single" w:sz="4" w:space="0" w:color="auto"/>
              <w:left w:val="single" w:sz="4" w:space="0" w:color="auto"/>
              <w:bottom w:val="nil"/>
              <w:right w:val="nil"/>
            </w:tcBorders>
            <w:hideMark/>
          </w:tcPr>
          <w:p w14:paraId="64ADAC01" w14:textId="77777777" w:rsidR="00F96011" w:rsidRPr="00F96011" w:rsidRDefault="00F96011" w:rsidP="008A6B56">
            <w:pPr>
              <w:spacing w:line="240" w:lineRule="auto"/>
              <w:jc w:val="right"/>
              <w:rPr>
                <w:i/>
                <w:iCs/>
                <w:sz w:val="20"/>
                <w:szCs w:val="20"/>
              </w:rPr>
            </w:pPr>
            <w:r w:rsidRPr="00F96011">
              <w:rPr>
                <w:i/>
                <w:iCs/>
                <w:sz w:val="20"/>
                <w:szCs w:val="20"/>
              </w:rPr>
              <w:t>Cumul Surface de reboisement à vocation énergétique</w:t>
            </w:r>
          </w:p>
        </w:tc>
        <w:tc>
          <w:tcPr>
            <w:tcW w:w="2000" w:type="pct"/>
            <w:tcBorders>
              <w:top w:val="single" w:sz="4" w:space="0" w:color="auto"/>
              <w:left w:val="nil"/>
              <w:bottom w:val="nil"/>
              <w:right w:val="single" w:sz="4" w:space="0" w:color="auto"/>
            </w:tcBorders>
            <w:hideMark/>
          </w:tcPr>
          <w:p w14:paraId="7104D1B6" w14:textId="3215D5C4" w:rsidR="00F96011" w:rsidRDefault="00F96011" w:rsidP="008A6B56">
            <w:pPr>
              <w:spacing w:line="240" w:lineRule="auto"/>
              <w:rPr>
                <w:i/>
                <w:iCs/>
                <w:sz w:val="20"/>
                <w:szCs w:val="20"/>
              </w:rPr>
            </w:pPr>
            <w:r w:rsidRPr="00F96011">
              <w:rPr>
                <w:i/>
                <w:iCs/>
                <w:sz w:val="20"/>
                <w:szCs w:val="20"/>
              </w:rPr>
              <w:t>= Cumul Surface de reboisement à vocation énergétique antérieur + Cumul Surface de nouveau reboisement à vocation énergétique</w:t>
            </w:r>
          </w:p>
          <w:p w14:paraId="0AB68AC3" w14:textId="77777777" w:rsidR="00700D13" w:rsidRDefault="00700D13" w:rsidP="008A6B56">
            <w:pPr>
              <w:spacing w:line="240" w:lineRule="auto"/>
              <w:rPr>
                <w:i/>
                <w:iCs/>
                <w:sz w:val="20"/>
                <w:szCs w:val="20"/>
              </w:rPr>
            </w:pPr>
          </w:p>
          <w:p w14:paraId="75AC8FAE" w14:textId="579B0467" w:rsidR="009545F9" w:rsidRPr="00F96011" w:rsidRDefault="009545F9" w:rsidP="008A6B56">
            <w:pPr>
              <w:spacing w:line="240" w:lineRule="auto"/>
              <w:rPr>
                <w:i/>
                <w:iCs/>
                <w:sz w:val="20"/>
                <w:szCs w:val="20"/>
              </w:rPr>
            </w:pPr>
          </w:p>
        </w:tc>
      </w:tr>
      <w:tr w:rsidR="00F96011" w:rsidRPr="00F96011" w14:paraId="15541F1E" w14:textId="77777777" w:rsidTr="00F96011">
        <w:trPr>
          <w:trHeight w:val="6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44016D" w14:textId="77777777" w:rsidR="00F96011" w:rsidRPr="00F96011" w:rsidRDefault="00F96011" w:rsidP="008A6B56">
            <w:pPr>
              <w:spacing w:line="240" w:lineRule="auto"/>
              <w:rPr>
                <w:b/>
                <w:bCs/>
              </w:rPr>
            </w:pPr>
          </w:p>
        </w:tc>
        <w:tc>
          <w:tcPr>
            <w:tcW w:w="2000" w:type="pct"/>
            <w:gridSpan w:val="2"/>
            <w:tcBorders>
              <w:top w:val="nil"/>
              <w:left w:val="single" w:sz="4" w:space="0" w:color="auto"/>
              <w:bottom w:val="single" w:sz="4" w:space="0" w:color="auto"/>
              <w:right w:val="nil"/>
            </w:tcBorders>
            <w:hideMark/>
          </w:tcPr>
          <w:p w14:paraId="0BF77D28" w14:textId="77777777" w:rsidR="00F96011" w:rsidRPr="00F96011" w:rsidRDefault="00F96011" w:rsidP="008A6B56">
            <w:pPr>
              <w:spacing w:line="240" w:lineRule="auto"/>
              <w:jc w:val="right"/>
              <w:rPr>
                <w:i/>
                <w:iCs/>
                <w:sz w:val="20"/>
                <w:szCs w:val="20"/>
              </w:rPr>
            </w:pPr>
            <w:r w:rsidRPr="00F96011">
              <w:rPr>
                <w:i/>
                <w:iCs/>
                <w:sz w:val="20"/>
                <w:szCs w:val="20"/>
              </w:rPr>
              <w:t>Potentiel en bois énergie des reboisements</w:t>
            </w:r>
          </w:p>
        </w:tc>
        <w:tc>
          <w:tcPr>
            <w:tcW w:w="2000" w:type="pct"/>
            <w:tcBorders>
              <w:top w:val="nil"/>
              <w:left w:val="nil"/>
              <w:bottom w:val="single" w:sz="4" w:space="0" w:color="auto"/>
              <w:right w:val="single" w:sz="4" w:space="0" w:color="auto"/>
            </w:tcBorders>
            <w:hideMark/>
          </w:tcPr>
          <w:p w14:paraId="308910BE" w14:textId="77777777" w:rsidR="00F96011" w:rsidRPr="00F96011" w:rsidRDefault="00F96011" w:rsidP="008A6B56">
            <w:pPr>
              <w:spacing w:line="240" w:lineRule="auto"/>
              <w:rPr>
                <w:i/>
                <w:iCs/>
                <w:sz w:val="20"/>
                <w:szCs w:val="20"/>
              </w:rPr>
            </w:pPr>
            <w:r w:rsidRPr="00F96011">
              <w:rPr>
                <w:i/>
                <w:iCs/>
                <w:sz w:val="20"/>
                <w:szCs w:val="20"/>
              </w:rPr>
              <w:t>= Cumul Surface de reboisement à vocation énergétique - Surface de reboisement à vocation énergétique détruite</w:t>
            </w:r>
          </w:p>
        </w:tc>
      </w:tr>
      <w:tr w:rsidR="00F96011" w:rsidRPr="00F96011" w14:paraId="6F4DE7C7"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573A906C" w14:textId="77777777" w:rsidR="00F96011" w:rsidRPr="00F96011" w:rsidRDefault="00F96011" w:rsidP="008A6B56">
            <w:pPr>
              <w:spacing w:line="240" w:lineRule="auto"/>
              <w:rPr>
                <w:b/>
                <w:bCs/>
              </w:rPr>
            </w:pPr>
            <w:r w:rsidRPr="00F96011">
              <w:rPr>
                <w:b/>
                <w:bCs/>
              </w:rPr>
              <w:t>Unité</w:t>
            </w:r>
          </w:p>
        </w:tc>
        <w:tc>
          <w:tcPr>
            <w:tcW w:w="4000" w:type="pct"/>
            <w:gridSpan w:val="3"/>
            <w:tcBorders>
              <w:top w:val="single" w:sz="4" w:space="0" w:color="auto"/>
              <w:left w:val="single" w:sz="4" w:space="0" w:color="auto"/>
              <w:bottom w:val="single" w:sz="4" w:space="0" w:color="auto"/>
              <w:right w:val="single" w:sz="4" w:space="0" w:color="auto"/>
            </w:tcBorders>
            <w:hideMark/>
          </w:tcPr>
          <w:p w14:paraId="7CC366DB" w14:textId="15103311" w:rsidR="00F96011" w:rsidRPr="00F96011" w:rsidRDefault="00DB0B2E" w:rsidP="008A6B56">
            <w:pPr>
              <w:spacing w:line="240" w:lineRule="auto"/>
            </w:pPr>
            <w:r>
              <w:t>H</w:t>
            </w:r>
            <w:r w:rsidR="00F96011" w:rsidRPr="00F96011">
              <w:t>a</w:t>
            </w:r>
          </w:p>
        </w:tc>
      </w:tr>
      <w:tr w:rsidR="00F96011" w:rsidRPr="00F96011" w14:paraId="28B12BC2"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1AC19FD4" w14:textId="77777777" w:rsidR="00F96011" w:rsidRPr="00F96011" w:rsidRDefault="00F96011" w:rsidP="008A6B56">
            <w:pPr>
              <w:spacing w:line="240" w:lineRule="auto"/>
              <w:rPr>
                <w:b/>
                <w:bCs/>
              </w:rPr>
            </w:pPr>
            <w:r w:rsidRPr="00F96011">
              <w:rPr>
                <w:b/>
                <w:bCs/>
              </w:rPr>
              <w:t>Périodicité</w:t>
            </w:r>
          </w:p>
        </w:tc>
        <w:tc>
          <w:tcPr>
            <w:tcW w:w="4000" w:type="pct"/>
            <w:gridSpan w:val="3"/>
            <w:tcBorders>
              <w:top w:val="single" w:sz="4" w:space="0" w:color="auto"/>
              <w:left w:val="single" w:sz="4" w:space="0" w:color="auto"/>
              <w:bottom w:val="single" w:sz="4" w:space="0" w:color="auto"/>
              <w:right w:val="single" w:sz="4" w:space="0" w:color="auto"/>
            </w:tcBorders>
            <w:hideMark/>
          </w:tcPr>
          <w:p w14:paraId="111D361A" w14:textId="77777777" w:rsidR="00F96011" w:rsidRPr="00F96011" w:rsidRDefault="00F96011" w:rsidP="008A6B56">
            <w:pPr>
              <w:spacing w:line="240" w:lineRule="auto"/>
            </w:pPr>
            <w:r w:rsidRPr="00F96011">
              <w:t>Chaque année</w:t>
            </w:r>
          </w:p>
        </w:tc>
      </w:tr>
      <w:tr w:rsidR="00F96011" w:rsidRPr="00F96011" w14:paraId="7DA4FFFE"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2FE880AD" w14:textId="77777777" w:rsidR="00F96011" w:rsidRPr="00F96011" w:rsidRDefault="00F96011" w:rsidP="008A6B56">
            <w:pPr>
              <w:spacing w:line="240" w:lineRule="auto"/>
              <w:rPr>
                <w:b/>
                <w:bCs/>
              </w:rPr>
            </w:pPr>
            <w:r w:rsidRPr="00F96011">
              <w:rPr>
                <w:b/>
                <w:bCs/>
              </w:rPr>
              <w:t>Rapportage</w:t>
            </w:r>
          </w:p>
        </w:tc>
        <w:tc>
          <w:tcPr>
            <w:tcW w:w="4000" w:type="pct"/>
            <w:gridSpan w:val="3"/>
            <w:tcBorders>
              <w:top w:val="single" w:sz="4" w:space="0" w:color="auto"/>
              <w:left w:val="single" w:sz="4" w:space="0" w:color="auto"/>
              <w:bottom w:val="single" w:sz="4" w:space="0" w:color="auto"/>
              <w:right w:val="single" w:sz="4" w:space="0" w:color="auto"/>
            </w:tcBorders>
            <w:hideMark/>
          </w:tcPr>
          <w:p w14:paraId="059D4677" w14:textId="77777777" w:rsidR="00F96011" w:rsidRPr="00F96011" w:rsidRDefault="00F96011" w:rsidP="008A6B56">
            <w:pPr>
              <w:spacing w:line="240" w:lineRule="auto"/>
              <w:jc w:val="both"/>
            </w:pPr>
            <w:r w:rsidRPr="00F96011">
              <w:t xml:space="preserve">Le rapportage de cet indicateur doit se faire chaque année en envoyant les données collectées au niveau local (District) vers les niveaux régional et central jusqu’en mois d’Août de l’année en cours. Un rapport régional par Région doit </w:t>
            </w:r>
            <w:r w:rsidRPr="00F96011">
              <w:lastRenderedPageBreak/>
              <w:t>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174F0E06" w14:textId="77777777" w:rsidTr="00F96011">
        <w:tc>
          <w:tcPr>
            <w:tcW w:w="1000" w:type="pct"/>
            <w:tcBorders>
              <w:top w:val="single" w:sz="4" w:space="0" w:color="auto"/>
              <w:left w:val="single" w:sz="4" w:space="0" w:color="auto"/>
              <w:bottom w:val="single" w:sz="4" w:space="0" w:color="auto"/>
              <w:right w:val="single" w:sz="4" w:space="0" w:color="auto"/>
            </w:tcBorders>
            <w:hideMark/>
          </w:tcPr>
          <w:p w14:paraId="3DFDBF64" w14:textId="77777777" w:rsidR="00F96011" w:rsidRPr="00F96011" w:rsidRDefault="00F96011" w:rsidP="008A6B56">
            <w:pPr>
              <w:spacing w:line="240" w:lineRule="auto"/>
              <w:rPr>
                <w:b/>
                <w:bCs/>
              </w:rPr>
            </w:pPr>
            <w:r w:rsidRPr="00F96011">
              <w:rPr>
                <w:b/>
                <w:bCs/>
              </w:rPr>
              <w:lastRenderedPageBreak/>
              <w:t>Fiabilité</w:t>
            </w:r>
          </w:p>
        </w:tc>
        <w:tc>
          <w:tcPr>
            <w:tcW w:w="4000" w:type="pct"/>
            <w:gridSpan w:val="3"/>
            <w:tcBorders>
              <w:top w:val="single" w:sz="4" w:space="0" w:color="auto"/>
              <w:left w:val="single" w:sz="4" w:space="0" w:color="auto"/>
              <w:bottom w:val="single" w:sz="4" w:space="0" w:color="auto"/>
              <w:right w:val="single" w:sz="4" w:space="0" w:color="auto"/>
            </w:tcBorders>
            <w:hideMark/>
          </w:tcPr>
          <w:p w14:paraId="4AA42C94" w14:textId="77777777" w:rsidR="00F96011" w:rsidRPr="00F96011" w:rsidRDefault="00F96011" w:rsidP="008A6B56">
            <w:pPr>
              <w:spacing w:line="240" w:lineRule="auto"/>
            </w:pPr>
            <w:r w:rsidRPr="00F96011">
              <w:t>Bonne</w:t>
            </w:r>
          </w:p>
        </w:tc>
      </w:tr>
    </w:tbl>
    <w:p w14:paraId="16087380" w14:textId="35D89FA1" w:rsidR="0013533D" w:rsidRDefault="0013533D" w:rsidP="008A6B56">
      <w:pPr>
        <w:spacing w:line="240" w:lineRule="auto"/>
        <w:rPr>
          <w:rFonts w:ascii="Calibri" w:eastAsia="Calibri" w:hAnsi="Calibri" w:cs="Times New Roman"/>
        </w:rPr>
      </w:pPr>
    </w:p>
    <w:p w14:paraId="5270BEE6" w14:textId="77777777" w:rsidR="0013533D" w:rsidRDefault="0013533D" w:rsidP="008A6B56">
      <w:pPr>
        <w:spacing w:line="240" w:lineRule="auto"/>
        <w:rPr>
          <w:rFonts w:ascii="Calibri" w:eastAsia="Calibri" w:hAnsi="Calibri" w:cs="Times New Roman"/>
        </w:rPr>
      </w:pPr>
      <w:r>
        <w:rPr>
          <w:rFonts w:ascii="Calibri" w:eastAsia="Calibri" w:hAnsi="Calibri" w:cs="Times New Roman"/>
        </w:rPr>
        <w:br w:type="page"/>
      </w:r>
    </w:p>
    <w:tbl>
      <w:tblPr>
        <w:tblStyle w:val="Grilledutableau3"/>
        <w:tblW w:w="5081" w:type="pct"/>
        <w:tblInd w:w="0" w:type="dxa"/>
        <w:tblLook w:val="04A0" w:firstRow="1" w:lastRow="0" w:firstColumn="1" w:lastColumn="0" w:noHBand="0" w:noVBand="1"/>
      </w:tblPr>
      <w:tblGrid>
        <w:gridCol w:w="1838"/>
        <w:gridCol w:w="2551"/>
        <w:gridCol w:w="991"/>
        <w:gridCol w:w="3829"/>
      </w:tblGrid>
      <w:tr w:rsidR="00F96011" w:rsidRPr="00F96011" w14:paraId="078B3270" w14:textId="77777777" w:rsidTr="00F96011">
        <w:trPr>
          <w:gridAfter w:val="3"/>
          <w:wAfter w:w="4002" w:type="pct"/>
        </w:trPr>
        <w:tc>
          <w:tcPr>
            <w:tcW w:w="998" w:type="pct"/>
            <w:tcBorders>
              <w:top w:val="single" w:sz="4" w:space="0" w:color="auto"/>
              <w:left w:val="single" w:sz="4" w:space="0" w:color="auto"/>
              <w:bottom w:val="single" w:sz="4" w:space="0" w:color="auto"/>
              <w:right w:val="single" w:sz="4" w:space="0" w:color="auto"/>
            </w:tcBorders>
            <w:shd w:val="clear" w:color="auto" w:fill="FFE599"/>
            <w:hideMark/>
          </w:tcPr>
          <w:p w14:paraId="5D43A7DA" w14:textId="77777777" w:rsidR="00F96011" w:rsidRPr="00A92FDE" w:rsidRDefault="00F96011" w:rsidP="008A6B56">
            <w:pPr>
              <w:spacing w:line="240" w:lineRule="auto"/>
              <w:rPr>
                <w:b/>
                <w:bCs/>
              </w:rPr>
            </w:pPr>
            <w:r w:rsidRPr="00A92FDE">
              <w:rPr>
                <w:b/>
                <w:bCs/>
              </w:rPr>
              <w:lastRenderedPageBreak/>
              <w:t>Fiche N° 04</w:t>
            </w:r>
          </w:p>
        </w:tc>
      </w:tr>
      <w:tr w:rsidR="00F96011" w:rsidRPr="00F96011" w14:paraId="26613A45" w14:textId="77777777" w:rsidTr="00F96011">
        <w:tc>
          <w:tcPr>
            <w:tcW w:w="2383" w:type="pct"/>
            <w:gridSpan w:val="2"/>
            <w:tcBorders>
              <w:top w:val="single" w:sz="4" w:space="0" w:color="auto"/>
              <w:left w:val="single" w:sz="4" w:space="0" w:color="auto"/>
              <w:bottom w:val="single" w:sz="4" w:space="0" w:color="auto"/>
              <w:right w:val="single" w:sz="4" w:space="0" w:color="auto"/>
            </w:tcBorders>
            <w:shd w:val="clear" w:color="auto" w:fill="FFE599"/>
            <w:hideMark/>
          </w:tcPr>
          <w:p w14:paraId="021A96CF" w14:textId="772A71E5" w:rsidR="00F96011" w:rsidRPr="00F96011" w:rsidRDefault="00F96011" w:rsidP="008A6B56">
            <w:pPr>
              <w:spacing w:line="240" w:lineRule="auto"/>
            </w:pPr>
            <w:r w:rsidRPr="00F96011">
              <w:t xml:space="preserve">Offre potentielle en </w:t>
            </w:r>
            <w:r w:rsidR="00C76BB3">
              <w:t>bois énergie</w:t>
            </w:r>
            <w:r w:rsidRPr="00F96011">
              <w:t xml:space="preserve"> </w:t>
            </w:r>
          </w:p>
        </w:tc>
        <w:tc>
          <w:tcPr>
            <w:tcW w:w="2617"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51182571" w14:textId="77777777" w:rsidR="00F96011" w:rsidRPr="00F96011" w:rsidRDefault="00F96011" w:rsidP="008A6B56">
            <w:pPr>
              <w:pStyle w:val="Titre2"/>
              <w:spacing w:line="240" w:lineRule="auto"/>
              <w:outlineLvl w:val="1"/>
            </w:pPr>
            <w:bookmarkStart w:id="12" w:name="_Toc75162452"/>
            <w:r w:rsidRPr="00F96011">
              <w:t>Nombre de plants produits prêts à être mis en terre</w:t>
            </w:r>
            <w:bookmarkEnd w:id="12"/>
          </w:p>
        </w:tc>
      </w:tr>
      <w:tr w:rsidR="00F96011" w:rsidRPr="00F96011" w14:paraId="41280A93"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7B0527DA" w14:textId="77777777" w:rsidR="00F96011" w:rsidRPr="00F96011" w:rsidRDefault="00F96011" w:rsidP="008A6B56">
            <w:pPr>
              <w:spacing w:line="240" w:lineRule="auto"/>
              <w:rPr>
                <w:b/>
                <w:bCs/>
              </w:rPr>
            </w:pPr>
            <w:r w:rsidRPr="00F96011">
              <w:rPr>
                <w:b/>
                <w:bCs/>
              </w:rPr>
              <w:t>Description</w:t>
            </w:r>
          </w:p>
        </w:tc>
        <w:tc>
          <w:tcPr>
            <w:tcW w:w="4002" w:type="pct"/>
            <w:gridSpan w:val="3"/>
            <w:tcBorders>
              <w:top w:val="single" w:sz="4" w:space="0" w:color="auto"/>
              <w:left w:val="single" w:sz="4" w:space="0" w:color="auto"/>
              <w:bottom w:val="single" w:sz="4" w:space="0" w:color="auto"/>
              <w:right w:val="single" w:sz="4" w:space="0" w:color="auto"/>
            </w:tcBorders>
            <w:hideMark/>
          </w:tcPr>
          <w:p w14:paraId="0FD6DEA5" w14:textId="77777777" w:rsidR="00F96011" w:rsidRPr="00F96011" w:rsidRDefault="00F96011" w:rsidP="008A6B56">
            <w:pPr>
              <w:spacing w:line="240" w:lineRule="auto"/>
              <w:jc w:val="both"/>
            </w:pPr>
            <w:r w:rsidRPr="00F96011">
              <w:t xml:space="preserve">Cet indicateur consiste à connaître le nombre de pépinières opérationnelles et ses caractéristiques. Les informations liées à cet indicateur, donc à collecter pour chaque pépinière identifiée sont :  La capacité maximale de production, le nombre de plants effectivement produits afin d’en sortir le nombre total de plants prêts à être mis en terre au niveau district et même national, et le taux des femmes employés pour démontrer la place des femmes dans la production </w:t>
            </w:r>
            <w:r w:rsidRPr="00F96011">
              <w:rPr>
                <w:i/>
                <w:iCs/>
              </w:rPr>
              <w:t>(Objectif de Développement Durable 5)</w:t>
            </w:r>
          </w:p>
        </w:tc>
      </w:tr>
      <w:tr w:rsidR="00F96011" w:rsidRPr="00F96011" w14:paraId="0E98F084"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382A90CE" w14:textId="77777777" w:rsidR="00F96011" w:rsidRPr="00F96011" w:rsidRDefault="00F96011" w:rsidP="008A6B56">
            <w:pPr>
              <w:spacing w:line="240" w:lineRule="auto"/>
              <w:rPr>
                <w:b/>
                <w:bCs/>
              </w:rPr>
            </w:pPr>
            <w:r w:rsidRPr="00F96011">
              <w:rPr>
                <w:b/>
                <w:bCs/>
              </w:rPr>
              <w:t>Indicateurs associés</w:t>
            </w:r>
          </w:p>
        </w:tc>
        <w:tc>
          <w:tcPr>
            <w:tcW w:w="4002" w:type="pct"/>
            <w:gridSpan w:val="3"/>
            <w:tcBorders>
              <w:top w:val="single" w:sz="4" w:space="0" w:color="auto"/>
              <w:left w:val="single" w:sz="4" w:space="0" w:color="auto"/>
              <w:bottom w:val="single" w:sz="4" w:space="0" w:color="auto"/>
              <w:right w:val="single" w:sz="4" w:space="0" w:color="auto"/>
            </w:tcBorders>
            <w:hideMark/>
          </w:tcPr>
          <w:p w14:paraId="5401FBC9" w14:textId="77777777" w:rsidR="00F96011" w:rsidRPr="00F96011" w:rsidRDefault="00F96011" w:rsidP="008A6B56">
            <w:pPr>
              <w:spacing w:line="240" w:lineRule="auto"/>
            </w:pPr>
            <w:r w:rsidRPr="00F96011">
              <w:t>- Taux femmes impliquées dans les activités de pépinière (%)</w:t>
            </w:r>
          </w:p>
          <w:p w14:paraId="6B253CC3" w14:textId="77777777" w:rsidR="00F96011" w:rsidRPr="00F96011" w:rsidRDefault="00F96011" w:rsidP="008A6B56">
            <w:pPr>
              <w:spacing w:line="240" w:lineRule="auto"/>
            </w:pPr>
            <w:r w:rsidRPr="00F96011">
              <w:t>- Capacité de production des pépinières (Nombre de plants)</w:t>
            </w:r>
          </w:p>
        </w:tc>
      </w:tr>
      <w:tr w:rsidR="00F96011" w:rsidRPr="00F96011" w14:paraId="3DC47F26"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1C4FAC2E" w14:textId="77777777" w:rsidR="00F96011" w:rsidRPr="00F96011" w:rsidRDefault="00F96011" w:rsidP="008A6B56">
            <w:pPr>
              <w:spacing w:line="240" w:lineRule="auto"/>
              <w:rPr>
                <w:b/>
                <w:bCs/>
              </w:rPr>
            </w:pPr>
            <w:r w:rsidRPr="00F96011">
              <w:rPr>
                <w:b/>
                <w:bCs/>
              </w:rPr>
              <w:t>Fiche de collecte correspondante</w:t>
            </w:r>
          </w:p>
        </w:tc>
        <w:tc>
          <w:tcPr>
            <w:tcW w:w="4002" w:type="pct"/>
            <w:gridSpan w:val="3"/>
            <w:tcBorders>
              <w:top w:val="single" w:sz="4" w:space="0" w:color="auto"/>
              <w:left w:val="single" w:sz="4" w:space="0" w:color="auto"/>
              <w:bottom w:val="single" w:sz="4" w:space="0" w:color="auto"/>
              <w:right w:val="single" w:sz="4" w:space="0" w:color="auto"/>
            </w:tcBorders>
            <w:hideMark/>
          </w:tcPr>
          <w:p w14:paraId="378D2B57" w14:textId="77777777" w:rsidR="00F96011" w:rsidRPr="00F96011" w:rsidRDefault="00F96011" w:rsidP="008A6B56">
            <w:pPr>
              <w:spacing w:line="240" w:lineRule="auto"/>
              <w:rPr>
                <w:i/>
                <w:iCs/>
                <w:color w:val="FF0000"/>
              </w:rPr>
            </w:pPr>
            <w:r w:rsidRPr="00F96011">
              <w:rPr>
                <w:i/>
                <w:iCs/>
              </w:rPr>
              <w:t>Fiche de collecte pépinière</w:t>
            </w:r>
          </w:p>
        </w:tc>
      </w:tr>
      <w:tr w:rsidR="00F96011" w:rsidRPr="00F96011" w14:paraId="489E7148"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364EA6C7" w14:textId="77777777" w:rsidR="00F96011" w:rsidRPr="00F96011" w:rsidRDefault="00F96011" w:rsidP="008A6B56">
            <w:pPr>
              <w:spacing w:line="240" w:lineRule="auto"/>
              <w:rPr>
                <w:b/>
                <w:bCs/>
              </w:rPr>
            </w:pPr>
            <w:r w:rsidRPr="00F96011">
              <w:rPr>
                <w:b/>
                <w:bCs/>
              </w:rPr>
              <w:t>Paramètres mis en jeu (données à collecter)</w:t>
            </w:r>
          </w:p>
        </w:tc>
        <w:tc>
          <w:tcPr>
            <w:tcW w:w="4002" w:type="pct"/>
            <w:gridSpan w:val="3"/>
            <w:tcBorders>
              <w:top w:val="single" w:sz="4" w:space="0" w:color="auto"/>
              <w:left w:val="single" w:sz="4" w:space="0" w:color="auto"/>
              <w:bottom w:val="single" w:sz="4" w:space="0" w:color="auto"/>
              <w:right w:val="single" w:sz="4" w:space="0" w:color="auto"/>
            </w:tcBorders>
            <w:hideMark/>
          </w:tcPr>
          <w:p w14:paraId="0260EF32" w14:textId="77777777" w:rsidR="00F96011" w:rsidRPr="00F96011" w:rsidRDefault="00F96011" w:rsidP="008A6B56">
            <w:pPr>
              <w:spacing w:line="240" w:lineRule="auto"/>
            </w:pPr>
            <w:r w:rsidRPr="00F96011">
              <w:t>- Longitude (en degré décimal)</w:t>
            </w:r>
          </w:p>
          <w:p w14:paraId="5BC50EE7" w14:textId="77777777" w:rsidR="00F96011" w:rsidRPr="00F96011" w:rsidRDefault="00F96011" w:rsidP="008A6B56">
            <w:pPr>
              <w:spacing w:line="240" w:lineRule="auto"/>
            </w:pPr>
            <w:r w:rsidRPr="00F96011">
              <w:t>- Latitude (en degré décimal)</w:t>
            </w:r>
          </w:p>
          <w:p w14:paraId="31D9A789" w14:textId="77777777" w:rsidR="00F96011" w:rsidRPr="00F96011" w:rsidRDefault="00F96011" w:rsidP="008A6B56">
            <w:pPr>
              <w:spacing w:line="240" w:lineRule="auto"/>
            </w:pPr>
            <w:r w:rsidRPr="00F96011">
              <w:t>- Nom GPX (Relevés points GPS des localisations)</w:t>
            </w:r>
          </w:p>
          <w:p w14:paraId="05FD07AB" w14:textId="77777777" w:rsidR="00F96011" w:rsidRPr="00F96011" w:rsidRDefault="00F96011" w:rsidP="008A6B56">
            <w:pPr>
              <w:spacing w:line="240" w:lineRule="auto"/>
            </w:pPr>
            <w:r w:rsidRPr="00F96011">
              <w:t xml:space="preserve">- Type pépiniériste (dans un projet ou hors projet) </w:t>
            </w:r>
          </w:p>
          <w:p w14:paraId="571BD6E1" w14:textId="77777777" w:rsidR="00F96011" w:rsidRPr="00F96011" w:rsidRDefault="00F96011" w:rsidP="008A6B56">
            <w:pPr>
              <w:spacing w:line="240" w:lineRule="auto"/>
            </w:pPr>
            <w:r w:rsidRPr="00F96011">
              <w:t>- Nom du projet d’appui (si existe)</w:t>
            </w:r>
          </w:p>
          <w:p w14:paraId="620F5293" w14:textId="77777777" w:rsidR="00F96011" w:rsidRPr="00F96011" w:rsidRDefault="00F96011" w:rsidP="008A6B56">
            <w:pPr>
              <w:spacing w:line="240" w:lineRule="auto"/>
            </w:pPr>
            <w:r w:rsidRPr="00F96011">
              <w:t>- Nom Propriétaire (Nom et prénom si personne physique ; Nom ou dénomination si personne morale)</w:t>
            </w:r>
          </w:p>
          <w:p w14:paraId="00DFAD45" w14:textId="77777777" w:rsidR="00F96011" w:rsidRPr="00F96011" w:rsidRDefault="00F96011" w:rsidP="008A6B56">
            <w:pPr>
              <w:spacing w:line="240" w:lineRule="auto"/>
            </w:pPr>
            <w:r w:rsidRPr="00F96011">
              <w:t xml:space="preserve">- Genre </w:t>
            </w:r>
          </w:p>
          <w:p w14:paraId="2006D7B5" w14:textId="77777777" w:rsidR="00F96011" w:rsidRPr="00F96011" w:rsidRDefault="00F96011" w:rsidP="008A6B56">
            <w:pPr>
              <w:spacing w:line="240" w:lineRule="auto"/>
            </w:pPr>
            <w:r w:rsidRPr="00F96011">
              <w:t>- Nombre total des employés</w:t>
            </w:r>
          </w:p>
          <w:p w14:paraId="418DF19A" w14:textId="77777777" w:rsidR="00F96011" w:rsidRPr="00F96011" w:rsidRDefault="00F96011" w:rsidP="008A6B56">
            <w:pPr>
              <w:spacing w:line="240" w:lineRule="auto"/>
            </w:pPr>
            <w:r w:rsidRPr="00F96011">
              <w:t xml:space="preserve">- Nombre des femmes impliquées à la production de plants. </w:t>
            </w:r>
          </w:p>
          <w:p w14:paraId="7D7A84C9" w14:textId="77777777" w:rsidR="00F96011" w:rsidRPr="00F96011" w:rsidRDefault="00F96011" w:rsidP="008A6B56">
            <w:pPr>
              <w:spacing w:line="240" w:lineRule="auto"/>
            </w:pPr>
            <w:r w:rsidRPr="00F96011">
              <w:t>- Essences utilisées en pépinière</w:t>
            </w:r>
          </w:p>
          <w:p w14:paraId="60450176" w14:textId="77777777" w:rsidR="00F96011" w:rsidRPr="00F96011" w:rsidRDefault="00F96011" w:rsidP="008A6B56">
            <w:pPr>
              <w:spacing w:line="240" w:lineRule="auto"/>
            </w:pPr>
            <w:r w:rsidRPr="00F96011">
              <w:t>- Capacite maximale de production</w:t>
            </w:r>
          </w:p>
          <w:p w14:paraId="5256022E" w14:textId="77777777" w:rsidR="00F96011" w:rsidRPr="00F96011" w:rsidRDefault="00F96011" w:rsidP="008A6B56">
            <w:pPr>
              <w:spacing w:line="240" w:lineRule="auto"/>
            </w:pPr>
            <w:r w:rsidRPr="00F96011">
              <w:t>- Nombre de plants prêts à être mis en terre</w:t>
            </w:r>
          </w:p>
        </w:tc>
      </w:tr>
      <w:tr w:rsidR="00F96011" w:rsidRPr="00F96011" w14:paraId="194EFD75"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016CB771" w14:textId="77777777" w:rsidR="00F96011" w:rsidRPr="00F96011" w:rsidRDefault="00F96011" w:rsidP="008A6B56">
            <w:pPr>
              <w:spacing w:line="240" w:lineRule="auto"/>
              <w:rPr>
                <w:b/>
                <w:bCs/>
              </w:rPr>
            </w:pPr>
            <w:r w:rsidRPr="00F96011">
              <w:rPr>
                <w:b/>
                <w:bCs/>
              </w:rPr>
              <w:t>Méthode de collecte</w:t>
            </w:r>
          </w:p>
        </w:tc>
        <w:tc>
          <w:tcPr>
            <w:tcW w:w="4002" w:type="pct"/>
            <w:gridSpan w:val="3"/>
            <w:tcBorders>
              <w:top w:val="single" w:sz="4" w:space="0" w:color="auto"/>
              <w:left w:val="single" w:sz="4" w:space="0" w:color="auto"/>
              <w:bottom w:val="single" w:sz="4" w:space="0" w:color="auto"/>
              <w:right w:val="single" w:sz="4" w:space="0" w:color="auto"/>
            </w:tcBorders>
            <w:hideMark/>
          </w:tcPr>
          <w:p w14:paraId="42C62D30" w14:textId="77777777" w:rsidR="00F96011" w:rsidRPr="00F96011" w:rsidRDefault="00F96011" w:rsidP="008A6B56">
            <w:pPr>
              <w:spacing w:line="240" w:lineRule="auto"/>
            </w:pPr>
            <w:r w:rsidRPr="00F96011">
              <w:t>La collecte de données est précédée d’une étude préalable pour l’identification des pépinières. Cette phase préliminaire peut se faire soit :</w:t>
            </w:r>
          </w:p>
          <w:p w14:paraId="47C05AB0" w14:textId="77777777" w:rsidR="00F96011" w:rsidRPr="00F96011" w:rsidRDefault="00F96011" w:rsidP="008A6B56">
            <w:pPr>
              <w:spacing w:line="240" w:lineRule="auto"/>
            </w:pPr>
            <w:r w:rsidRPr="00F96011">
              <w:t xml:space="preserve">- par documentation </w:t>
            </w:r>
          </w:p>
          <w:p w14:paraId="3963E57C" w14:textId="77777777" w:rsidR="00F96011" w:rsidRPr="00F96011" w:rsidRDefault="00F96011" w:rsidP="008A6B56">
            <w:pPr>
              <w:spacing w:line="240" w:lineRule="auto"/>
            </w:pPr>
            <w:r w:rsidRPr="00F96011">
              <w:t>- investigation auprès des services déconcentrés du ministère en charge des forêts</w:t>
            </w:r>
          </w:p>
          <w:p w14:paraId="47B8D84E" w14:textId="299BCBEC" w:rsidR="00F96011" w:rsidRPr="00F96011" w:rsidRDefault="00F96011" w:rsidP="008A6B56">
            <w:pPr>
              <w:spacing w:line="240" w:lineRule="auto"/>
              <w:jc w:val="both"/>
            </w:pPr>
            <w:r w:rsidRPr="00F96011">
              <w:t>Cette étape est suivie par une formation des équipes d’identification qui a pour but de les informer sur les objectifs et techniques d’identification des pépinières opérationnelles. Cette équipe peut être l’équipe disponible au niveau des Directions régionales en charge des forêts mais doit intervenir au niveau local ; leur dispersion dans les Districts d’intervention relève de leur organisation interne. Il est également possible de former des équipes au niveau local d’intervention, en leur montrant les travaux à effectuer, si l’effectif n’est pas suffisant.</w:t>
            </w:r>
          </w:p>
        </w:tc>
      </w:tr>
      <w:tr w:rsidR="00F96011" w:rsidRPr="00F96011" w14:paraId="67858D8F" w14:textId="77777777" w:rsidTr="00F96011">
        <w:tc>
          <w:tcPr>
            <w:tcW w:w="998" w:type="pct"/>
            <w:vMerge w:val="restart"/>
            <w:tcBorders>
              <w:top w:val="single" w:sz="4" w:space="0" w:color="auto"/>
              <w:left w:val="single" w:sz="4" w:space="0" w:color="auto"/>
              <w:bottom w:val="single" w:sz="4" w:space="0" w:color="auto"/>
              <w:right w:val="single" w:sz="4" w:space="0" w:color="auto"/>
            </w:tcBorders>
            <w:hideMark/>
          </w:tcPr>
          <w:p w14:paraId="065E322C" w14:textId="77777777" w:rsidR="00F96011" w:rsidRPr="00F96011" w:rsidRDefault="00F96011" w:rsidP="008A6B56">
            <w:pPr>
              <w:spacing w:line="240" w:lineRule="auto"/>
              <w:rPr>
                <w:b/>
                <w:bCs/>
              </w:rPr>
            </w:pPr>
            <w:r w:rsidRPr="00F96011">
              <w:rPr>
                <w:b/>
                <w:bCs/>
              </w:rPr>
              <w:t>Méthode de calcul</w:t>
            </w:r>
          </w:p>
        </w:tc>
        <w:tc>
          <w:tcPr>
            <w:tcW w:w="1923" w:type="pct"/>
            <w:gridSpan w:val="2"/>
            <w:tcBorders>
              <w:top w:val="single" w:sz="4" w:space="0" w:color="auto"/>
              <w:left w:val="single" w:sz="4" w:space="0" w:color="auto"/>
              <w:bottom w:val="nil"/>
              <w:right w:val="nil"/>
            </w:tcBorders>
            <w:hideMark/>
          </w:tcPr>
          <w:p w14:paraId="66B76C18" w14:textId="77777777" w:rsidR="00F96011" w:rsidRPr="00F96011" w:rsidRDefault="00F96011" w:rsidP="008A6B56">
            <w:pPr>
              <w:spacing w:line="240" w:lineRule="auto"/>
              <w:jc w:val="right"/>
              <w:rPr>
                <w:i/>
                <w:iCs/>
                <w:sz w:val="20"/>
                <w:szCs w:val="20"/>
              </w:rPr>
            </w:pPr>
            <w:r w:rsidRPr="00F96011">
              <w:rPr>
                <w:i/>
                <w:iCs/>
                <w:sz w:val="20"/>
                <w:szCs w:val="20"/>
              </w:rPr>
              <w:t>Nombre plants produits par Région</w:t>
            </w:r>
          </w:p>
        </w:tc>
        <w:tc>
          <w:tcPr>
            <w:tcW w:w="2079" w:type="pct"/>
            <w:tcBorders>
              <w:top w:val="single" w:sz="4" w:space="0" w:color="auto"/>
              <w:left w:val="nil"/>
              <w:bottom w:val="nil"/>
              <w:right w:val="single" w:sz="4" w:space="0" w:color="auto"/>
            </w:tcBorders>
          </w:tcPr>
          <w:p w14:paraId="25BAB1B5" w14:textId="77777777" w:rsidR="00F96011" w:rsidRPr="00F96011" w:rsidRDefault="00F96011" w:rsidP="008A6B56">
            <w:pPr>
              <w:spacing w:line="240" w:lineRule="auto"/>
              <w:rPr>
                <w:i/>
                <w:iCs/>
                <w:sz w:val="20"/>
                <w:szCs w:val="20"/>
              </w:rPr>
            </w:pPr>
            <w:r w:rsidRPr="00F96011">
              <w:rPr>
                <w:i/>
                <w:iCs/>
                <w:sz w:val="20"/>
                <w:szCs w:val="20"/>
              </w:rPr>
              <w:t>= Somme nombre plants produits par District dans la Région</w:t>
            </w:r>
          </w:p>
          <w:p w14:paraId="06403031" w14:textId="77777777" w:rsidR="00F96011" w:rsidRPr="00F96011" w:rsidRDefault="00F96011" w:rsidP="008A6B56">
            <w:pPr>
              <w:spacing w:line="240" w:lineRule="auto"/>
              <w:rPr>
                <w:i/>
                <w:iCs/>
                <w:sz w:val="20"/>
                <w:szCs w:val="20"/>
              </w:rPr>
            </w:pPr>
          </w:p>
        </w:tc>
      </w:tr>
      <w:tr w:rsidR="00F96011" w:rsidRPr="00F96011" w14:paraId="5E94CAB2" w14:textId="77777777" w:rsidTr="00F96011">
        <w:tc>
          <w:tcPr>
            <w:tcW w:w="0" w:type="auto"/>
            <w:vMerge/>
            <w:tcBorders>
              <w:top w:val="single" w:sz="4" w:space="0" w:color="auto"/>
              <w:left w:val="single" w:sz="4" w:space="0" w:color="auto"/>
              <w:bottom w:val="single" w:sz="4" w:space="0" w:color="auto"/>
              <w:right w:val="single" w:sz="4" w:space="0" w:color="auto"/>
            </w:tcBorders>
            <w:vAlign w:val="center"/>
            <w:hideMark/>
          </w:tcPr>
          <w:p w14:paraId="099484EA" w14:textId="77777777" w:rsidR="00F96011" w:rsidRPr="00F96011" w:rsidRDefault="00F96011" w:rsidP="008A6B56">
            <w:pPr>
              <w:spacing w:line="240" w:lineRule="auto"/>
              <w:rPr>
                <w:b/>
                <w:bCs/>
              </w:rPr>
            </w:pPr>
          </w:p>
        </w:tc>
        <w:tc>
          <w:tcPr>
            <w:tcW w:w="1923" w:type="pct"/>
            <w:gridSpan w:val="2"/>
            <w:tcBorders>
              <w:top w:val="nil"/>
              <w:left w:val="single" w:sz="4" w:space="0" w:color="auto"/>
              <w:bottom w:val="nil"/>
              <w:right w:val="nil"/>
            </w:tcBorders>
            <w:hideMark/>
          </w:tcPr>
          <w:p w14:paraId="21BBAFF2" w14:textId="77777777" w:rsidR="00F96011" w:rsidRPr="00F96011" w:rsidRDefault="00F96011" w:rsidP="008A6B56">
            <w:pPr>
              <w:spacing w:line="240" w:lineRule="auto"/>
              <w:jc w:val="right"/>
              <w:rPr>
                <w:i/>
                <w:iCs/>
                <w:sz w:val="20"/>
                <w:szCs w:val="20"/>
              </w:rPr>
            </w:pPr>
            <w:r w:rsidRPr="00F96011">
              <w:rPr>
                <w:i/>
                <w:iCs/>
                <w:sz w:val="20"/>
                <w:szCs w:val="20"/>
              </w:rPr>
              <w:t>Nombre plants produits par District</w:t>
            </w:r>
          </w:p>
        </w:tc>
        <w:tc>
          <w:tcPr>
            <w:tcW w:w="2079" w:type="pct"/>
            <w:tcBorders>
              <w:top w:val="nil"/>
              <w:left w:val="nil"/>
              <w:bottom w:val="nil"/>
              <w:right w:val="single" w:sz="4" w:space="0" w:color="auto"/>
            </w:tcBorders>
            <w:hideMark/>
          </w:tcPr>
          <w:p w14:paraId="46647535" w14:textId="77777777" w:rsidR="00F96011" w:rsidRDefault="00F96011" w:rsidP="008A6B56">
            <w:pPr>
              <w:spacing w:line="240" w:lineRule="auto"/>
              <w:rPr>
                <w:i/>
                <w:iCs/>
                <w:sz w:val="20"/>
                <w:szCs w:val="20"/>
              </w:rPr>
            </w:pPr>
            <w:r w:rsidRPr="00F96011">
              <w:rPr>
                <w:i/>
                <w:iCs/>
                <w:sz w:val="20"/>
                <w:szCs w:val="20"/>
              </w:rPr>
              <w:t>= Somme nombre plants produits par pépinière dans le District pour chaque année</w:t>
            </w:r>
          </w:p>
          <w:p w14:paraId="38598D76" w14:textId="58EAE51D" w:rsidR="009545F9" w:rsidRPr="00F96011" w:rsidRDefault="009545F9" w:rsidP="008A6B56">
            <w:pPr>
              <w:spacing w:line="240" w:lineRule="auto"/>
              <w:rPr>
                <w:i/>
                <w:iCs/>
                <w:sz w:val="20"/>
                <w:szCs w:val="20"/>
              </w:rPr>
            </w:pPr>
          </w:p>
        </w:tc>
      </w:tr>
      <w:tr w:rsidR="00F96011" w:rsidRPr="00F96011" w14:paraId="39499258" w14:textId="77777777" w:rsidTr="00F96011">
        <w:tc>
          <w:tcPr>
            <w:tcW w:w="0" w:type="auto"/>
            <w:vMerge/>
            <w:tcBorders>
              <w:top w:val="single" w:sz="4" w:space="0" w:color="auto"/>
              <w:left w:val="single" w:sz="4" w:space="0" w:color="auto"/>
              <w:bottom w:val="single" w:sz="4" w:space="0" w:color="auto"/>
              <w:right w:val="single" w:sz="4" w:space="0" w:color="auto"/>
            </w:tcBorders>
            <w:vAlign w:val="center"/>
            <w:hideMark/>
          </w:tcPr>
          <w:p w14:paraId="0D30FEE9" w14:textId="77777777" w:rsidR="00F96011" w:rsidRPr="00F96011" w:rsidRDefault="00F96011" w:rsidP="008A6B56">
            <w:pPr>
              <w:spacing w:line="240" w:lineRule="auto"/>
              <w:rPr>
                <w:b/>
                <w:bCs/>
              </w:rPr>
            </w:pPr>
          </w:p>
        </w:tc>
        <w:tc>
          <w:tcPr>
            <w:tcW w:w="1923" w:type="pct"/>
            <w:gridSpan w:val="2"/>
            <w:tcBorders>
              <w:top w:val="nil"/>
              <w:left w:val="single" w:sz="4" w:space="0" w:color="auto"/>
              <w:bottom w:val="nil"/>
              <w:right w:val="nil"/>
            </w:tcBorders>
            <w:hideMark/>
          </w:tcPr>
          <w:p w14:paraId="2BAFE7DE" w14:textId="77777777" w:rsidR="00F96011" w:rsidRPr="00F96011" w:rsidRDefault="00F96011" w:rsidP="008A6B56">
            <w:pPr>
              <w:spacing w:line="240" w:lineRule="auto"/>
              <w:jc w:val="right"/>
              <w:rPr>
                <w:i/>
                <w:iCs/>
                <w:sz w:val="20"/>
                <w:szCs w:val="20"/>
              </w:rPr>
            </w:pPr>
            <w:r w:rsidRPr="00F96011">
              <w:rPr>
                <w:i/>
                <w:iCs/>
                <w:sz w:val="20"/>
                <w:szCs w:val="20"/>
              </w:rPr>
              <w:t>Nombre plants produits un niveau national</w:t>
            </w:r>
          </w:p>
        </w:tc>
        <w:tc>
          <w:tcPr>
            <w:tcW w:w="2079" w:type="pct"/>
            <w:tcBorders>
              <w:top w:val="nil"/>
              <w:left w:val="nil"/>
              <w:bottom w:val="nil"/>
              <w:right w:val="single" w:sz="4" w:space="0" w:color="auto"/>
            </w:tcBorders>
          </w:tcPr>
          <w:p w14:paraId="165F0478" w14:textId="77777777" w:rsidR="00F96011" w:rsidRPr="00F96011" w:rsidRDefault="00F96011" w:rsidP="008A6B56">
            <w:pPr>
              <w:spacing w:line="240" w:lineRule="auto"/>
              <w:rPr>
                <w:i/>
                <w:iCs/>
                <w:sz w:val="20"/>
                <w:szCs w:val="20"/>
              </w:rPr>
            </w:pPr>
            <w:r w:rsidRPr="00F96011">
              <w:rPr>
                <w:i/>
                <w:iCs/>
                <w:sz w:val="20"/>
                <w:szCs w:val="20"/>
              </w:rPr>
              <w:t>= Somme nombre plants produits par Région</w:t>
            </w:r>
          </w:p>
          <w:p w14:paraId="421AE53A" w14:textId="77777777" w:rsidR="00F96011" w:rsidRDefault="00F96011" w:rsidP="008A6B56">
            <w:pPr>
              <w:spacing w:line="240" w:lineRule="auto"/>
              <w:rPr>
                <w:i/>
                <w:iCs/>
                <w:sz w:val="20"/>
                <w:szCs w:val="20"/>
              </w:rPr>
            </w:pPr>
          </w:p>
          <w:p w14:paraId="563B3ABF" w14:textId="16F14CC5" w:rsidR="009545F9" w:rsidRPr="00F96011" w:rsidRDefault="009545F9" w:rsidP="008A6B56">
            <w:pPr>
              <w:spacing w:line="240" w:lineRule="auto"/>
              <w:rPr>
                <w:i/>
                <w:iCs/>
                <w:sz w:val="20"/>
                <w:szCs w:val="20"/>
              </w:rPr>
            </w:pPr>
          </w:p>
        </w:tc>
      </w:tr>
      <w:tr w:rsidR="00F96011" w:rsidRPr="00F96011" w14:paraId="66533B1A" w14:textId="77777777" w:rsidTr="00F96011">
        <w:tc>
          <w:tcPr>
            <w:tcW w:w="0" w:type="auto"/>
            <w:vMerge/>
            <w:tcBorders>
              <w:top w:val="single" w:sz="4" w:space="0" w:color="auto"/>
              <w:left w:val="single" w:sz="4" w:space="0" w:color="auto"/>
              <w:bottom w:val="single" w:sz="4" w:space="0" w:color="auto"/>
              <w:right w:val="single" w:sz="4" w:space="0" w:color="auto"/>
            </w:tcBorders>
            <w:vAlign w:val="center"/>
            <w:hideMark/>
          </w:tcPr>
          <w:p w14:paraId="56801575" w14:textId="77777777" w:rsidR="00F96011" w:rsidRPr="00F96011" w:rsidRDefault="00F96011" w:rsidP="008A6B56">
            <w:pPr>
              <w:spacing w:line="240" w:lineRule="auto"/>
              <w:rPr>
                <w:b/>
                <w:bCs/>
              </w:rPr>
            </w:pPr>
          </w:p>
        </w:tc>
        <w:tc>
          <w:tcPr>
            <w:tcW w:w="1923" w:type="pct"/>
            <w:gridSpan w:val="2"/>
            <w:tcBorders>
              <w:top w:val="nil"/>
              <w:left w:val="single" w:sz="4" w:space="0" w:color="auto"/>
              <w:bottom w:val="single" w:sz="4" w:space="0" w:color="auto"/>
              <w:right w:val="nil"/>
            </w:tcBorders>
            <w:hideMark/>
          </w:tcPr>
          <w:p w14:paraId="0AC3FB08" w14:textId="77777777" w:rsidR="00F96011" w:rsidRPr="00F96011" w:rsidRDefault="00F96011" w:rsidP="008A6B56">
            <w:pPr>
              <w:spacing w:line="240" w:lineRule="auto"/>
              <w:jc w:val="right"/>
              <w:rPr>
                <w:i/>
                <w:iCs/>
                <w:sz w:val="20"/>
                <w:szCs w:val="20"/>
              </w:rPr>
            </w:pPr>
            <w:r w:rsidRPr="00F96011">
              <w:rPr>
                <w:i/>
                <w:iCs/>
                <w:sz w:val="20"/>
                <w:szCs w:val="20"/>
              </w:rPr>
              <w:t>Taux de femme</w:t>
            </w:r>
            <w:r w:rsidRPr="00F96011">
              <w:rPr>
                <w:sz w:val="20"/>
                <w:szCs w:val="20"/>
              </w:rPr>
              <w:t xml:space="preserve"> </w:t>
            </w:r>
            <w:r w:rsidRPr="00F96011">
              <w:rPr>
                <w:i/>
                <w:iCs/>
                <w:sz w:val="20"/>
                <w:szCs w:val="20"/>
              </w:rPr>
              <w:t>impliquées dans les activités de pépinière</w:t>
            </w:r>
          </w:p>
        </w:tc>
        <w:tc>
          <w:tcPr>
            <w:tcW w:w="2079" w:type="pct"/>
            <w:tcBorders>
              <w:top w:val="nil"/>
              <w:left w:val="nil"/>
              <w:bottom w:val="single" w:sz="4" w:space="0" w:color="auto"/>
              <w:right w:val="single" w:sz="4" w:space="0" w:color="auto"/>
            </w:tcBorders>
            <w:hideMark/>
          </w:tcPr>
          <w:p w14:paraId="1B820700" w14:textId="77777777" w:rsidR="00F96011" w:rsidRPr="00F96011" w:rsidRDefault="00F96011" w:rsidP="008A6B56">
            <w:pPr>
              <w:spacing w:line="240" w:lineRule="auto"/>
              <w:rPr>
                <w:i/>
                <w:iCs/>
                <w:sz w:val="20"/>
                <w:szCs w:val="20"/>
              </w:rPr>
            </w:pPr>
            <w:r w:rsidRPr="00F96011">
              <w:rPr>
                <w:i/>
                <w:iCs/>
                <w:sz w:val="20"/>
                <w:szCs w:val="20"/>
              </w:rPr>
              <w:t>= Nombre de femmes employées/Nombre total employés * 100</w:t>
            </w:r>
          </w:p>
        </w:tc>
      </w:tr>
      <w:tr w:rsidR="00F96011" w:rsidRPr="00F96011" w14:paraId="00C0AADD"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220F45D0" w14:textId="77777777" w:rsidR="00F96011" w:rsidRPr="00F96011" w:rsidRDefault="00F96011" w:rsidP="008A6B56">
            <w:pPr>
              <w:spacing w:line="240" w:lineRule="auto"/>
              <w:rPr>
                <w:b/>
                <w:bCs/>
              </w:rPr>
            </w:pPr>
            <w:r w:rsidRPr="00F96011">
              <w:rPr>
                <w:b/>
                <w:bCs/>
              </w:rPr>
              <w:t>Unité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3EF60F95" w14:textId="77777777" w:rsidR="00F96011" w:rsidRPr="00F96011" w:rsidRDefault="00F96011" w:rsidP="008A6B56">
            <w:pPr>
              <w:spacing w:line="240" w:lineRule="auto"/>
            </w:pPr>
            <w:r w:rsidRPr="00F96011">
              <w:t>Nombre</w:t>
            </w:r>
          </w:p>
        </w:tc>
      </w:tr>
      <w:tr w:rsidR="00F96011" w:rsidRPr="00F96011" w14:paraId="577386D2"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7A678AB1" w14:textId="77777777" w:rsidR="00F96011" w:rsidRPr="00F96011" w:rsidRDefault="00F96011" w:rsidP="008A6B56">
            <w:pPr>
              <w:spacing w:line="240" w:lineRule="auto"/>
              <w:rPr>
                <w:b/>
                <w:bCs/>
              </w:rPr>
            </w:pPr>
            <w:r w:rsidRPr="00F96011">
              <w:rPr>
                <w:b/>
                <w:bCs/>
              </w:rPr>
              <w:t>Périodicité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7140A129" w14:textId="77777777" w:rsidR="00F96011" w:rsidRPr="00F96011" w:rsidRDefault="00F96011" w:rsidP="008A6B56">
            <w:pPr>
              <w:spacing w:line="240" w:lineRule="auto"/>
            </w:pPr>
            <w:r w:rsidRPr="00F96011">
              <w:t>Chaque année</w:t>
            </w:r>
          </w:p>
        </w:tc>
      </w:tr>
      <w:tr w:rsidR="00F96011" w:rsidRPr="00F96011" w14:paraId="66724E2C"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060819E8" w14:textId="77777777" w:rsidR="00F96011" w:rsidRPr="00F96011" w:rsidRDefault="00F96011" w:rsidP="008A6B56">
            <w:pPr>
              <w:spacing w:line="240" w:lineRule="auto"/>
              <w:rPr>
                <w:b/>
                <w:bCs/>
              </w:rPr>
            </w:pPr>
            <w:r w:rsidRPr="00F96011">
              <w:rPr>
                <w:b/>
                <w:bCs/>
              </w:rPr>
              <w:lastRenderedPageBreak/>
              <w:t>Rapportage</w:t>
            </w:r>
          </w:p>
        </w:tc>
        <w:tc>
          <w:tcPr>
            <w:tcW w:w="4002" w:type="pct"/>
            <w:gridSpan w:val="3"/>
            <w:tcBorders>
              <w:top w:val="single" w:sz="4" w:space="0" w:color="auto"/>
              <w:left w:val="single" w:sz="4" w:space="0" w:color="auto"/>
              <w:bottom w:val="single" w:sz="4" w:space="0" w:color="auto"/>
              <w:right w:val="single" w:sz="4" w:space="0" w:color="auto"/>
            </w:tcBorders>
            <w:hideMark/>
          </w:tcPr>
          <w:p w14:paraId="7FD6972B"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cette même année.</w:t>
            </w:r>
          </w:p>
        </w:tc>
      </w:tr>
      <w:tr w:rsidR="00F96011" w:rsidRPr="00F96011" w14:paraId="01FAA144" w14:textId="77777777" w:rsidTr="00F96011">
        <w:tc>
          <w:tcPr>
            <w:tcW w:w="998" w:type="pct"/>
            <w:tcBorders>
              <w:top w:val="single" w:sz="4" w:space="0" w:color="auto"/>
              <w:left w:val="single" w:sz="4" w:space="0" w:color="auto"/>
              <w:bottom w:val="single" w:sz="4" w:space="0" w:color="auto"/>
              <w:right w:val="single" w:sz="4" w:space="0" w:color="auto"/>
            </w:tcBorders>
            <w:hideMark/>
          </w:tcPr>
          <w:p w14:paraId="4A2DCA12" w14:textId="77777777" w:rsidR="00F96011" w:rsidRPr="00F96011" w:rsidRDefault="00F96011" w:rsidP="008A6B56">
            <w:pPr>
              <w:spacing w:line="240" w:lineRule="auto"/>
              <w:rPr>
                <w:b/>
                <w:bCs/>
              </w:rPr>
            </w:pPr>
            <w:r w:rsidRPr="00F96011">
              <w:rPr>
                <w:b/>
                <w:bCs/>
              </w:rPr>
              <w:t>Fiabilité</w:t>
            </w:r>
          </w:p>
        </w:tc>
        <w:tc>
          <w:tcPr>
            <w:tcW w:w="4002" w:type="pct"/>
            <w:gridSpan w:val="3"/>
            <w:tcBorders>
              <w:top w:val="single" w:sz="4" w:space="0" w:color="auto"/>
              <w:left w:val="single" w:sz="4" w:space="0" w:color="auto"/>
              <w:bottom w:val="single" w:sz="4" w:space="0" w:color="auto"/>
              <w:right w:val="single" w:sz="4" w:space="0" w:color="auto"/>
            </w:tcBorders>
            <w:hideMark/>
          </w:tcPr>
          <w:p w14:paraId="59ADF771" w14:textId="77777777" w:rsidR="00F96011" w:rsidRPr="00F96011" w:rsidRDefault="00F96011" w:rsidP="008A6B56">
            <w:pPr>
              <w:spacing w:line="240" w:lineRule="auto"/>
            </w:pPr>
            <w:r w:rsidRPr="00F96011">
              <w:t>Bonne</w:t>
            </w:r>
          </w:p>
        </w:tc>
      </w:tr>
    </w:tbl>
    <w:p w14:paraId="01269CD0" w14:textId="47C92280" w:rsidR="0013533D" w:rsidRDefault="0013533D" w:rsidP="008A6B56">
      <w:pPr>
        <w:spacing w:line="240" w:lineRule="auto"/>
        <w:rPr>
          <w:rFonts w:ascii="Calibri" w:eastAsia="Calibri" w:hAnsi="Calibri" w:cs="Times New Roman"/>
        </w:rPr>
      </w:pPr>
    </w:p>
    <w:p w14:paraId="0A3D5707" w14:textId="77777777" w:rsidR="0013533D" w:rsidRDefault="0013533D" w:rsidP="008A6B56">
      <w:pPr>
        <w:spacing w:line="240" w:lineRule="auto"/>
        <w:rPr>
          <w:rFonts w:ascii="Calibri" w:eastAsia="Calibri" w:hAnsi="Calibri" w:cs="Times New Roman"/>
        </w:rPr>
      </w:pPr>
      <w:r>
        <w:rPr>
          <w:rFonts w:ascii="Calibri" w:eastAsia="Calibri" w:hAnsi="Calibri" w:cs="Times New Roman"/>
        </w:rPr>
        <w:br w:type="page"/>
      </w:r>
    </w:p>
    <w:tbl>
      <w:tblPr>
        <w:tblStyle w:val="Grilledutableau3"/>
        <w:tblW w:w="5000" w:type="pct"/>
        <w:tblInd w:w="0" w:type="dxa"/>
        <w:tblLook w:val="04A0" w:firstRow="1" w:lastRow="0" w:firstColumn="1" w:lastColumn="0" w:noHBand="0" w:noVBand="1"/>
      </w:tblPr>
      <w:tblGrid>
        <w:gridCol w:w="1837"/>
        <w:gridCol w:w="2552"/>
        <w:gridCol w:w="990"/>
        <w:gridCol w:w="3683"/>
      </w:tblGrid>
      <w:tr w:rsidR="00F96011" w:rsidRPr="00F96011" w14:paraId="4790D785"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415A7D97" w14:textId="77777777" w:rsidR="00F96011" w:rsidRPr="00A92FDE" w:rsidRDefault="00F96011" w:rsidP="008A6B56">
            <w:pPr>
              <w:spacing w:line="240" w:lineRule="auto"/>
              <w:rPr>
                <w:b/>
                <w:bCs/>
              </w:rPr>
            </w:pPr>
            <w:r w:rsidRPr="00A92FDE">
              <w:rPr>
                <w:b/>
                <w:bCs/>
              </w:rPr>
              <w:lastRenderedPageBreak/>
              <w:t>Fiche N° 05</w:t>
            </w:r>
          </w:p>
        </w:tc>
      </w:tr>
      <w:tr w:rsidR="00F96011" w:rsidRPr="00F96011" w14:paraId="38E25358"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1AA8E5DB" w14:textId="77777777" w:rsidR="00F96011" w:rsidRPr="00F96011" w:rsidRDefault="00F96011" w:rsidP="008A6B56">
            <w:pPr>
              <w:spacing w:line="240" w:lineRule="auto"/>
              <w:rPr>
                <w:b/>
                <w:bCs/>
              </w:rPr>
            </w:pPr>
            <w:r w:rsidRPr="00F96011">
              <w:t>Offre potentielle en équipements de cuisson</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5C86C28C" w14:textId="43F60533" w:rsidR="00F96011" w:rsidRPr="00F96011" w:rsidRDefault="00342FD4" w:rsidP="008A6B56">
            <w:pPr>
              <w:pStyle w:val="Titre2"/>
              <w:spacing w:line="240" w:lineRule="auto"/>
              <w:outlineLvl w:val="1"/>
            </w:pPr>
            <w:bookmarkStart w:id="13" w:name="_Toc75162453"/>
            <w:r>
              <w:t>Nombre des différents types d’équipement de</w:t>
            </w:r>
            <w:r w:rsidR="00F96011" w:rsidRPr="00F96011">
              <w:t xml:space="preserve"> cuisson</w:t>
            </w:r>
            <w:r>
              <w:t xml:space="preserve"> disponible pour l’offre</w:t>
            </w:r>
            <w:bookmarkEnd w:id="13"/>
          </w:p>
        </w:tc>
      </w:tr>
      <w:tr w:rsidR="00F96011" w:rsidRPr="00F96011" w14:paraId="4E1909A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DA432AE"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7F3923A2" w14:textId="77777777" w:rsidR="00F96011" w:rsidRPr="00F96011" w:rsidRDefault="00F96011" w:rsidP="008A6B56">
            <w:pPr>
              <w:autoSpaceDE w:val="0"/>
              <w:autoSpaceDN w:val="0"/>
              <w:adjustRightInd w:val="0"/>
              <w:spacing w:line="240" w:lineRule="auto"/>
              <w:jc w:val="both"/>
            </w:pPr>
            <w:r w:rsidRPr="00F96011">
              <w:t>L’indicateur donne le nombre de équipements produits par les différents producteurs existant à travers le pays selon le type d’énergie de cuisson. Les informations à collecter renseignent aussi sur le nombre des producteurs des équipements de cuisson, ce dans chaque District, chaque Région et au niveau national.</w:t>
            </w:r>
          </w:p>
        </w:tc>
      </w:tr>
      <w:tr w:rsidR="00F96011" w:rsidRPr="00F96011" w14:paraId="4C70851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194BCDD"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321E38A9" w14:textId="77777777" w:rsidR="00F96011" w:rsidRPr="00F96011" w:rsidRDefault="00F96011" w:rsidP="008A6B56">
            <w:pPr>
              <w:spacing w:line="240" w:lineRule="auto"/>
            </w:pPr>
          </w:p>
        </w:tc>
      </w:tr>
      <w:tr w:rsidR="00F96011" w:rsidRPr="00F96011" w14:paraId="5652155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3AE60BB"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23C1A134" w14:textId="77777777" w:rsidR="00F96011" w:rsidRPr="00F96011" w:rsidRDefault="00F96011" w:rsidP="008A6B56">
            <w:pPr>
              <w:spacing w:line="240" w:lineRule="auto"/>
              <w:rPr>
                <w:i/>
                <w:iCs/>
                <w:color w:val="00B050"/>
              </w:rPr>
            </w:pPr>
            <w:r w:rsidRPr="00F96011">
              <w:rPr>
                <w:i/>
                <w:iCs/>
              </w:rPr>
              <w:t>Fiche d’enquête producteur d’équipements de cuisson</w:t>
            </w:r>
          </w:p>
        </w:tc>
      </w:tr>
      <w:tr w:rsidR="00F96011" w:rsidRPr="00F96011" w14:paraId="565E436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60A89F2"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7D5AD7BC" w14:textId="77777777" w:rsidR="00F96011" w:rsidRPr="00F96011" w:rsidRDefault="00F96011" w:rsidP="008A6B56">
            <w:pPr>
              <w:spacing w:after="255" w:line="240" w:lineRule="auto"/>
              <w:contextualSpacing/>
            </w:pPr>
            <w:r w:rsidRPr="00F96011">
              <w:t>- Type énergie de cuisson (bois de chauffe, charbon de bois, Biogaz, Gaz, bioéthanol, résidus agricoles/sous-produits, électricité, briquette/charbon vert, pétrole)</w:t>
            </w:r>
          </w:p>
          <w:p w14:paraId="21134ACC" w14:textId="77777777" w:rsidR="00F96011" w:rsidRPr="00F96011" w:rsidRDefault="00F96011" w:rsidP="008A6B56">
            <w:pPr>
              <w:spacing w:after="255" w:line="240" w:lineRule="auto"/>
              <w:contextualSpacing/>
            </w:pPr>
            <w:r w:rsidRPr="00F96011">
              <w:t>- Type d’équipement produit (traditionnel ou amélioré pour le bois énergie et selon l’énergie de cuisson pour les alternatives de cuisson)</w:t>
            </w:r>
          </w:p>
          <w:p w14:paraId="7C29458E" w14:textId="77777777" w:rsidR="00F96011" w:rsidRPr="00F96011" w:rsidRDefault="00F96011" w:rsidP="008A6B56">
            <w:pPr>
              <w:spacing w:after="255" w:line="240" w:lineRule="auto"/>
              <w:contextualSpacing/>
            </w:pPr>
            <w:r w:rsidRPr="00F96011">
              <w:t>- Production annuelle totale (nombre)</w:t>
            </w:r>
          </w:p>
        </w:tc>
      </w:tr>
      <w:tr w:rsidR="00F96011" w:rsidRPr="00F96011" w14:paraId="2CE2AD9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94DD40F"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0ABAF827" w14:textId="60C0A036" w:rsidR="000B62F7" w:rsidRPr="00670132" w:rsidRDefault="00F96011" w:rsidP="008A6B56">
            <w:pPr>
              <w:spacing w:line="240" w:lineRule="auto"/>
              <w:jc w:val="both"/>
            </w:pPr>
            <w:r w:rsidRPr="00F96011">
              <w:t>La collecte de données est précédée</w:t>
            </w:r>
            <w:r w:rsidRPr="00F96011">
              <w:rPr>
                <w:color w:val="00B050"/>
              </w:rPr>
              <w:t xml:space="preserve"> </w:t>
            </w:r>
            <w:r w:rsidRPr="00F96011">
              <w:t xml:space="preserve">d’une étude préalable (recensement des producteurs de foyers). Cette étape est suivie par une </w:t>
            </w:r>
            <w:r w:rsidR="000B62F7" w:rsidRPr="00670132">
              <w:t xml:space="preserve">formation sommaire des enquêteurs portant sur les objectifs et techniques de collecte de données afin qu’ils puissent agir avec le minimum de professionnalisme. </w:t>
            </w:r>
          </w:p>
          <w:p w14:paraId="127851B1" w14:textId="41CEAD62" w:rsidR="00F96011" w:rsidRPr="00F96011" w:rsidRDefault="00F96011" w:rsidP="008A6B56">
            <w:pPr>
              <w:spacing w:line="240" w:lineRule="auto"/>
              <w:jc w:val="both"/>
            </w:pPr>
            <w:r w:rsidRPr="00F96011">
              <w:t>des enquêteurs qui a pour but de les informer sur les objectifs et techniques d’enquête. Le Cantonnement forestier, les agents du ministère en charge de l’énergie, ceux du ministère en charge du commerce et les différents partenaires s’occuperont de cette formation et de la supervision des enquêteurs engagés pour les travaux ; leur répartition dans les zones d’intervention relève de l’organisation du groupe par District.</w:t>
            </w:r>
          </w:p>
        </w:tc>
      </w:tr>
      <w:tr w:rsidR="00F96011" w:rsidRPr="00F96011" w14:paraId="7C492797" w14:textId="77777777" w:rsidTr="00F96011">
        <w:trPr>
          <w:trHeight w:val="160"/>
        </w:trPr>
        <w:tc>
          <w:tcPr>
            <w:tcW w:w="1014" w:type="pct"/>
            <w:vMerge w:val="restart"/>
            <w:tcBorders>
              <w:top w:val="single" w:sz="4" w:space="0" w:color="auto"/>
              <w:left w:val="single" w:sz="4" w:space="0" w:color="auto"/>
              <w:bottom w:val="single" w:sz="4" w:space="0" w:color="auto"/>
              <w:right w:val="single" w:sz="4" w:space="0" w:color="auto"/>
            </w:tcBorders>
            <w:hideMark/>
          </w:tcPr>
          <w:p w14:paraId="0F2A8633" w14:textId="77777777" w:rsidR="00F96011" w:rsidRPr="00F96011" w:rsidRDefault="00F96011" w:rsidP="008A6B56">
            <w:pPr>
              <w:spacing w:line="240" w:lineRule="auto"/>
              <w:rPr>
                <w:b/>
                <w:bCs/>
              </w:rPr>
            </w:pPr>
            <w:r w:rsidRPr="00F96011">
              <w:rPr>
                <w:b/>
                <w:bCs/>
              </w:rPr>
              <w:t xml:space="preserve">Méthode de calcul </w:t>
            </w:r>
          </w:p>
        </w:tc>
        <w:tc>
          <w:tcPr>
            <w:tcW w:w="1954" w:type="pct"/>
            <w:gridSpan w:val="2"/>
            <w:tcBorders>
              <w:top w:val="single" w:sz="4" w:space="0" w:color="auto"/>
              <w:left w:val="single" w:sz="4" w:space="0" w:color="auto"/>
              <w:bottom w:val="nil"/>
              <w:right w:val="nil"/>
            </w:tcBorders>
            <w:hideMark/>
          </w:tcPr>
          <w:p w14:paraId="6D6B0E2B" w14:textId="77777777" w:rsidR="00F96011" w:rsidRPr="00F96011" w:rsidRDefault="00F96011" w:rsidP="008A6B56">
            <w:pPr>
              <w:spacing w:line="240" w:lineRule="auto"/>
              <w:jc w:val="right"/>
              <w:rPr>
                <w:i/>
                <w:iCs/>
                <w:sz w:val="20"/>
                <w:szCs w:val="20"/>
              </w:rPr>
            </w:pPr>
            <w:r w:rsidRPr="00F96011">
              <w:rPr>
                <w:i/>
                <w:iCs/>
                <w:sz w:val="20"/>
                <w:szCs w:val="20"/>
              </w:rPr>
              <w:t>Quantité d’équipements produits par type d’énergie de cuisson par District</w:t>
            </w:r>
          </w:p>
        </w:tc>
        <w:tc>
          <w:tcPr>
            <w:tcW w:w="2032" w:type="pct"/>
            <w:tcBorders>
              <w:top w:val="single" w:sz="4" w:space="0" w:color="auto"/>
              <w:left w:val="nil"/>
              <w:bottom w:val="nil"/>
              <w:right w:val="single" w:sz="4" w:space="0" w:color="auto"/>
            </w:tcBorders>
          </w:tcPr>
          <w:p w14:paraId="3F0B77F0" w14:textId="77777777" w:rsidR="00F96011" w:rsidRPr="00F96011" w:rsidRDefault="00F96011" w:rsidP="008A6B56">
            <w:pPr>
              <w:spacing w:line="240" w:lineRule="auto"/>
              <w:rPr>
                <w:i/>
                <w:iCs/>
                <w:sz w:val="20"/>
                <w:szCs w:val="20"/>
              </w:rPr>
            </w:pPr>
            <w:r w:rsidRPr="00F96011">
              <w:rPr>
                <w:i/>
                <w:iCs/>
                <w:sz w:val="20"/>
                <w:szCs w:val="20"/>
              </w:rPr>
              <w:t>= Somme annuelle des quantités d’équipements produits par type d’énergie de cuisson dans le District par an</w:t>
            </w:r>
          </w:p>
          <w:p w14:paraId="360516D1" w14:textId="77777777" w:rsidR="00F96011" w:rsidRPr="00F96011" w:rsidRDefault="00F96011" w:rsidP="008A6B56">
            <w:pPr>
              <w:spacing w:line="240" w:lineRule="auto"/>
              <w:rPr>
                <w:i/>
                <w:iCs/>
                <w:sz w:val="20"/>
                <w:szCs w:val="20"/>
              </w:rPr>
            </w:pPr>
          </w:p>
        </w:tc>
      </w:tr>
      <w:tr w:rsidR="00F96011" w:rsidRPr="00F96011" w14:paraId="1EB24B60" w14:textId="77777777" w:rsidTr="00F96011">
        <w:trPr>
          <w:trHeight w:val="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80B9A1" w14:textId="77777777" w:rsidR="00F96011" w:rsidRPr="00F96011" w:rsidRDefault="00F96011" w:rsidP="008A6B56">
            <w:pPr>
              <w:spacing w:line="240" w:lineRule="auto"/>
              <w:rPr>
                <w:b/>
                <w:bCs/>
              </w:rPr>
            </w:pPr>
          </w:p>
        </w:tc>
        <w:tc>
          <w:tcPr>
            <w:tcW w:w="1954" w:type="pct"/>
            <w:gridSpan w:val="2"/>
            <w:tcBorders>
              <w:top w:val="nil"/>
              <w:left w:val="single" w:sz="4" w:space="0" w:color="auto"/>
              <w:bottom w:val="nil"/>
              <w:right w:val="nil"/>
            </w:tcBorders>
            <w:hideMark/>
          </w:tcPr>
          <w:p w14:paraId="6E5E0D02" w14:textId="77777777" w:rsidR="00F96011" w:rsidRPr="00F96011" w:rsidRDefault="00F96011" w:rsidP="008A6B56">
            <w:pPr>
              <w:spacing w:line="240" w:lineRule="auto"/>
              <w:jc w:val="right"/>
              <w:rPr>
                <w:i/>
                <w:iCs/>
                <w:sz w:val="20"/>
                <w:szCs w:val="20"/>
              </w:rPr>
            </w:pPr>
            <w:r w:rsidRPr="00F96011">
              <w:rPr>
                <w:i/>
                <w:iCs/>
                <w:sz w:val="20"/>
                <w:szCs w:val="20"/>
              </w:rPr>
              <w:t>Quantité d’équipements produits par type d’énergie de cuisson par Région</w:t>
            </w:r>
          </w:p>
        </w:tc>
        <w:tc>
          <w:tcPr>
            <w:tcW w:w="2032" w:type="pct"/>
            <w:tcBorders>
              <w:top w:val="nil"/>
              <w:left w:val="nil"/>
              <w:bottom w:val="nil"/>
              <w:right w:val="single" w:sz="4" w:space="0" w:color="auto"/>
            </w:tcBorders>
          </w:tcPr>
          <w:p w14:paraId="2925F66C" w14:textId="77777777" w:rsidR="00F96011" w:rsidRPr="00F96011" w:rsidRDefault="00F96011" w:rsidP="008A6B56">
            <w:pPr>
              <w:spacing w:line="240" w:lineRule="auto"/>
              <w:rPr>
                <w:i/>
                <w:iCs/>
                <w:sz w:val="20"/>
                <w:szCs w:val="20"/>
              </w:rPr>
            </w:pPr>
            <w:r w:rsidRPr="00F96011">
              <w:rPr>
                <w:i/>
                <w:iCs/>
                <w:sz w:val="20"/>
                <w:szCs w:val="20"/>
              </w:rPr>
              <w:t>= somme des quantités d’équipements produits par type d’énergie de cuisson par District dans la Région</w:t>
            </w:r>
          </w:p>
          <w:p w14:paraId="306B47E8" w14:textId="77777777" w:rsidR="00F96011" w:rsidRPr="00F96011" w:rsidRDefault="00F96011" w:rsidP="008A6B56">
            <w:pPr>
              <w:spacing w:line="240" w:lineRule="auto"/>
              <w:rPr>
                <w:i/>
                <w:iCs/>
                <w:sz w:val="20"/>
                <w:szCs w:val="20"/>
              </w:rPr>
            </w:pPr>
          </w:p>
        </w:tc>
      </w:tr>
      <w:tr w:rsidR="00F96011" w:rsidRPr="00F96011" w14:paraId="4C399C84" w14:textId="77777777" w:rsidTr="00F96011">
        <w:trPr>
          <w:trHeight w:val="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26F47" w14:textId="77777777" w:rsidR="00F96011" w:rsidRPr="00F96011" w:rsidRDefault="00F96011" w:rsidP="008A6B56">
            <w:pPr>
              <w:spacing w:line="240" w:lineRule="auto"/>
              <w:rPr>
                <w:b/>
                <w:bCs/>
              </w:rPr>
            </w:pPr>
          </w:p>
        </w:tc>
        <w:tc>
          <w:tcPr>
            <w:tcW w:w="1954" w:type="pct"/>
            <w:gridSpan w:val="2"/>
            <w:tcBorders>
              <w:top w:val="nil"/>
              <w:left w:val="single" w:sz="4" w:space="0" w:color="auto"/>
              <w:bottom w:val="single" w:sz="4" w:space="0" w:color="auto"/>
              <w:right w:val="nil"/>
            </w:tcBorders>
            <w:hideMark/>
          </w:tcPr>
          <w:p w14:paraId="2D73C29F" w14:textId="77777777" w:rsidR="00F96011" w:rsidRPr="00F96011" w:rsidRDefault="00F96011" w:rsidP="008A6B56">
            <w:pPr>
              <w:spacing w:line="240" w:lineRule="auto"/>
              <w:jc w:val="right"/>
              <w:rPr>
                <w:i/>
                <w:iCs/>
                <w:sz w:val="20"/>
                <w:szCs w:val="20"/>
              </w:rPr>
            </w:pPr>
            <w:r w:rsidRPr="00F96011">
              <w:rPr>
                <w:i/>
                <w:iCs/>
                <w:sz w:val="20"/>
                <w:szCs w:val="20"/>
              </w:rPr>
              <w:t>Quantité d’équipements produits par type d’énergie de cuisson au niveau national</w:t>
            </w:r>
          </w:p>
        </w:tc>
        <w:tc>
          <w:tcPr>
            <w:tcW w:w="2032" w:type="pct"/>
            <w:tcBorders>
              <w:top w:val="nil"/>
              <w:left w:val="nil"/>
              <w:bottom w:val="single" w:sz="4" w:space="0" w:color="auto"/>
              <w:right w:val="single" w:sz="4" w:space="0" w:color="auto"/>
            </w:tcBorders>
            <w:hideMark/>
          </w:tcPr>
          <w:p w14:paraId="4CFE20B5" w14:textId="77777777" w:rsidR="00F96011" w:rsidRPr="00F96011" w:rsidRDefault="00F96011" w:rsidP="008A6B56">
            <w:pPr>
              <w:spacing w:line="240" w:lineRule="auto"/>
              <w:rPr>
                <w:i/>
                <w:iCs/>
                <w:sz w:val="20"/>
                <w:szCs w:val="20"/>
              </w:rPr>
            </w:pPr>
            <w:r w:rsidRPr="00F96011">
              <w:rPr>
                <w:i/>
                <w:iCs/>
                <w:sz w:val="20"/>
                <w:szCs w:val="20"/>
              </w:rPr>
              <w:t>= somme des quantités d’équipements produits par type d’énergie de cuisson par Région</w:t>
            </w:r>
          </w:p>
        </w:tc>
      </w:tr>
      <w:tr w:rsidR="00F96011" w:rsidRPr="00F96011" w14:paraId="0C34337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93648D8"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12957EF5" w14:textId="77777777" w:rsidR="00F96011" w:rsidRPr="00F96011" w:rsidRDefault="00F96011" w:rsidP="008A6B56">
            <w:pPr>
              <w:spacing w:line="240" w:lineRule="auto"/>
            </w:pPr>
            <w:r w:rsidRPr="00F96011">
              <w:t xml:space="preserve">Nombre </w:t>
            </w:r>
          </w:p>
        </w:tc>
      </w:tr>
      <w:tr w:rsidR="00F96011" w:rsidRPr="00F96011" w14:paraId="165FCE1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9A7AB2F"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05EF813" w14:textId="77777777" w:rsidR="00F96011" w:rsidRPr="00F96011" w:rsidRDefault="00F96011" w:rsidP="008A6B56">
            <w:pPr>
              <w:spacing w:line="240" w:lineRule="auto"/>
            </w:pPr>
            <w:r w:rsidRPr="00F96011">
              <w:t>Chaque année</w:t>
            </w:r>
          </w:p>
        </w:tc>
      </w:tr>
      <w:tr w:rsidR="00F96011" w:rsidRPr="00F96011" w14:paraId="3374BA9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47306DF"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7BDB9F21"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0423060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026E13D"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E9BA559" w14:textId="77777777" w:rsidR="00F96011" w:rsidRPr="00F96011" w:rsidRDefault="00F96011" w:rsidP="008A6B56">
            <w:pPr>
              <w:spacing w:line="240" w:lineRule="auto"/>
            </w:pPr>
            <w:r w:rsidRPr="00F96011">
              <w:t>Bonne</w:t>
            </w:r>
          </w:p>
        </w:tc>
      </w:tr>
    </w:tbl>
    <w:p w14:paraId="4D6E5DFA" w14:textId="77777777" w:rsidR="0013533D" w:rsidRDefault="0013533D" w:rsidP="008A6B56">
      <w:pPr>
        <w:spacing w:line="240" w:lineRule="auto"/>
        <w:rPr>
          <w:rFonts w:ascii="Calibri" w:eastAsia="Calibri" w:hAnsi="Calibri" w:cs="Times New Roman"/>
          <w:color w:val="FF0000"/>
          <w:sz w:val="20"/>
          <w:szCs w:val="20"/>
        </w:rPr>
      </w:pPr>
      <w:r>
        <w:rPr>
          <w:rFonts w:ascii="Calibri" w:eastAsia="Calibri" w:hAnsi="Calibri" w:cs="Times New Roman"/>
          <w:color w:val="FF0000"/>
          <w:sz w:val="20"/>
          <w:szCs w:val="20"/>
        </w:rPr>
        <w:br w:type="page"/>
      </w:r>
    </w:p>
    <w:tbl>
      <w:tblPr>
        <w:tblStyle w:val="Grilledutableau3"/>
        <w:tblW w:w="5000" w:type="pct"/>
        <w:tblInd w:w="0" w:type="dxa"/>
        <w:tblLook w:val="04A0" w:firstRow="1" w:lastRow="0" w:firstColumn="1" w:lastColumn="0" w:noHBand="0" w:noVBand="1"/>
      </w:tblPr>
      <w:tblGrid>
        <w:gridCol w:w="1837"/>
        <w:gridCol w:w="2552"/>
        <w:gridCol w:w="990"/>
        <w:gridCol w:w="3683"/>
      </w:tblGrid>
      <w:tr w:rsidR="00F96011" w:rsidRPr="00F96011" w14:paraId="05E3F3DB"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5EB94DA1" w14:textId="77777777" w:rsidR="00F96011" w:rsidRPr="00A92FDE" w:rsidRDefault="00F96011" w:rsidP="008A6B56">
            <w:pPr>
              <w:spacing w:line="240" w:lineRule="auto"/>
              <w:rPr>
                <w:b/>
                <w:bCs/>
              </w:rPr>
            </w:pPr>
            <w:r w:rsidRPr="00A92FDE">
              <w:rPr>
                <w:b/>
                <w:bCs/>
              </w:rPr>
              <w:lastRenderedPageBreak/>
              <w:t>Fiche N° 06</w:t>
            </w:r>
          </w:p>
        </w:tc>
      </w:tr>
      <w:tr w:rsidR="00F96011" w:rsidRPr="00F96011" w14:paraId="1F0CCDAA"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150ECE49" w14:textId="77777777" w:rsidR="00F96011" w:rsidRPr="00F96011" w:rsidRDefault="00F96011" w:rsidP="008A6B56">
            <w:pPr>
              <w:spacing w:line="240" w:lineRule="auto"/>
            </w:pPr>
            <w:r w:rsidRPr="00F96011">
              <w:t>Offre potentielle en alternatives de cuisson</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740C830F" w14:textId="26940DD9" w:rsidR="00F96011" w:rsidRPr="00F96011" w:rsidRDefault="00342FD4" w:rsidP="008A6B56">
            <w:pPr>
              <w:pStyle w:val="Titre2"/>
              <w:spacing w:line="240" w:lineRule="auto"/>
              <w:outlineLvl w:val="1"/>
            </w:pPr>
            <w:bookmarkStart w:id="14" w:name="_Toc75162454"/>
            <w:r>
              <w:t>Quantité d’énergie disponible issue de différents types d’</w:t>
            </w:r>
            <w:r w:rsidR="00F96011" w:rsidRPr="00F96011">
              <w:t>alternatives de cuisson</w:t>
            </w:r>
            <w:bookmarkEnd w:id="14"/>
            <w:r w:rsidR="00F96011" w:rsidRPr="00F96011">
              <w:t xml:space="preserve"> </w:t>
            </w:r>
          </w:p>
        </w:tc>
      </w:tr>
      <w:tr w:rsidR="00F96011" w:rsidRPr="00F96011" w14:paraId="5C7419F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93AA5EF"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69FC9DFC" w14:textId="77777777" w:rsidR="00F96011" w:rsidRPr="00F96011" w:rsidRDefault="00F96011" w:rsidP="008A6B56">
            <w:pPr>
              <w:spacing w:after="255" w:line="240" w:lineRule="auto"/>
              <w:contextualSpacing/>
              <w:rPr>
                <w:color w:val="FF0000"/>
              </w:rPr>
            </w:pPr>
            <w:r w:rsidRPr="00F96011">
              <w:t xml:space="preserve">Il s’agit dans le cadre de cet indicateur de connaitre la quantité produite concernant les différents types d’alternatives (Biogaz, Gaz butane, Bioéthanol, résidus agricoles/sous-produits, </w:t>
            </w:r>
            <w:r w:rsidRPr="00F96011">
              <w:rPr>
                <w:color w:val="000000"/>
              </w:rPr>
              <w:t>Pétrole lampant, Electricité).</w:t>
            </w:r>
          </w:p>
          <w:p w14:paraId="1B45B66C" w14:textId="77777777" w:rsidR="00F96011" w:rsidRPr="00F96011" w:rsidRDefault="00F96011" w:rsidP="008A6B56">
            <w:pPr>
              <w:autoSpaceDE w:val="0"/>
              <w:autoSpaceDN w:val="0"/>
              <w:adjustRightInd w:val="0"/>
              <w:spacing w:line="240" w:lineRule="auto"/>
              <w:jc w:val="both"/>
            </w:pPr>
            <w:r w:rsidRPr="00F96011">
              <w:t>Les quantités d’énergie alternatives destinées à la cuisson seront converties et exprimées en KJ.</w:t>
            </w:r>
          </w:p>
        </w:tc>
      </w:tr>
      <w:tr w:rsidR="00F96011" w:rsidRPr="00F96011" w14:paraId="02D3606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D14CC34"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51EADEED" w14:textId="77777777" w:rsidR="00F96011" w:rsidRPr="00F96011" w:rsidRDefault="00F96011" w:rsidP="008A6B56">
            <w:pPr>
              <w:spacing w:line="240" w:lineRule="auto"/>
            </w:pPr>
            <w:r w:rsidRPr="00F96011">
              <w:t xml:space="preserve">- Quantité produite en équipement d’alternatives de cuisson </w:t>
            </w:r>
          </w:p>
          <w:p w14:paraId="3A7703A3" w14:textId="77777777" w:rsidR="00F96011" w:rsidRPr="00F96011" w:rsidRDefault="00F96011" w:rsidP="008A6B56">
            <w:pPr>
              <w:spacing w:line="240" w:lineRule="auto"/>
            </w:pPr>
          </w:p>
        </w:tc>
      </w:tr>
      <w:tr w:rsidR="00F96011" w:rsidRPr="00F96011" w14:paraId="1990CF2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2252CC1"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67328E7A" w14:textId="77777777" w:rsidR="00F96011" w:rsidRPr="00F96011" w:rsidRDefault="00F96011" w:rsidP="008A6B56">
            <w:pPr>
              <w:spacing w:line="240" w:lineRule="auto"/>
              <w:rPr>
                <w:i/>
                <w:iCs/>
                <w:color w:val="00B050"/>
              </w:rPr>
            </w:pPr>
            <w:r w:rsidRPr="00F96011">
              <w:rPr>
                <w:i/>
                <w:iCs/>
              </w:rPr>
              <w:t>Fiche d’enquête producteur d’alternatives de cuisson</w:t>
            </w:r>
          </w:p>
        </w:tc>
      </w:tr>
      <w:tr w:rsidR="00F96011" w:rsidRPr="00F96011" w14:paraId="608D0FA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36818DB"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2B8E75E8" w14:textId="77777777" w:rsidR="00F96011" w:rsidRPr="00F96011" w:rsidRDefault="00F96011" w:rsidP="008A6B56">
            <w:pPr>
              <w:spacing w:after="255" w:line="240" w:lineRule="auto"/>
              <w:contextualSpacing/>
            </w:pPr>
            <w:r w:rsidRPr="00F96011">
              <w:t>- Quantité produite annuelle de biogaz (en m3)</w:t>
            </w:r>
          </w:p>
          <w:p w14:paraId="134E11C9" w14:textId="77777777" w:rsidR="00F96011" w:rsidRPr="00F96011" w:rsidRDefault="00F96011" w:rsidP="008A6B56">
            <w:pPr>
              <w:spacing w:after="255" w:line="240" w:lineRule="auto"/>
              <w:contextualSpacing/>
            </w:pPr>
            <w:r w:rsidRPr="00F96011">
              <w:t>- Quantité produite annuelle de gaz butane (kg)</w:t>
            </w:r>
          </w:p>
          <w:p w14:paraId="350D10F4" w14:textId="77777777" w:rsidR="00F96011" w:rsidRPr="00F96011" w:rsidRDefault="00F96011" w:rsidP="008A6B56">
            <w:pPr>
              <w:spacing w:after="255" w:line="240" w:lineRule="auto"/>
              <w:contextualSpacing/>
            </w:pPr>
            <w:r w:rsidRPr="00F96011">
              <w:t>- Quantité produite annuelle de bioéthanol (litre)</w:t>
            </w:r>
          </w:p>
          <w:p w14:paraId="51503EAD" w14:textId="77777777" w:rsidR="00F96011" w:rsidRPr="00F96011" w:rsidRDefault="00F96011" w:rsidP="008A6B56">
            <w:pPr>
              <w:spacing w:after="255" w:line="240" w:lineRule="auto"/>
              <w:contextualSpacing/>
            </w:pPr>
            <w:r w:rsidRPr="00F96011">
              <w:t>- Quantité produite annuelle de briquette/charbon vert (kg)</w:t>
            </w:r>
          </w:p>
          <w:p w14:paraId="0E814B1E" w14:textId="77777777" w:rsidR="00F96011" w:rsidRPr="00F96011" w:rsidRDefault="00F96011" w:rsidP="008A6B56">
            <w:pPr>
              <w:spacing w:after="255" w:line="240" w:lineRule="auto"/>
              <w:contextualSpacing/>
            </w:pPr>
            <w:r w:rsidRPr="00F96011">
              <w:t>- Quantité produite annuelle de résidus agricoles/sous-produits (kg)</w:t>
            </w:r>
          </w:p>
          <w:p w14:paraId="112B7054" w14:textId="77777777" w:rsidR="00F96011" w:rsidRPr="00F96011" w:rsidRDefault="00F96011" w:rsidP="008A6B56">
            <w:pPr>
              <w:spacing w:after="255" w:line="240" w:lineRule="auto"/>
              <w:contextualSpacing/>
            </w:pPr>
            <w:r w:rsidRPr="00F96011">
              <w:t>- Quantité produite annuelle de pétrole lampant (en litre)</w:t>
            </w:r>
          </w:p>
          <w:p w14:paraId="4A81035B" w14:textId="77777777" w:rsidR="00F96011" w:rsidRPr="00F96011" w:rsidRDefault="00F96011" w:rsidP="008A6B56">
            <w:pPr>
              <w:spacing w:after="255" w:line="240" w:lineRule="auto"/>
              <w:contextualSpacing/>
            </w:pPr>
            <w:r w:rsidRPr="00F96011">
              <w:t>- Quantité produite annuelle en électricité (KWh)</w:t>
            </w:r>
          </w:p>
          <w:p w14:paraId="526AA6C7" w14:textId="77777777" w:rsidR="00F96011" w:rsidRPr="00F96011" w:rsidRDefault="00F96011" w:rsidP="008A6B56">
            <w:pPr>
              <w:spacing w:line="240" w:lineRule="auto"/>
            </w:pPr>
            <w:r w:rsidRPr="00F96011">
              <w:t>- Quantité produite annuelle de toutes les alternatives (KJ)</w:t>
            </w:r>
          </w:p>
        </w:tc>
      </w:tr>
      <w:tr w:rsidR="00F96011" w:rsidRPr="00F96011" w14:paraId="1FA1A55C"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E9DB6E9"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7CD88863" w14:textId="61BDB8B7" w:rsidR="000B62F7" w:rsidRPr="00670132" w:rsidRDefault="00F96011" w:rsidP="008A6B56">
            <w:pPr>
              <w:spacing w:line="240" w:lineRule="auto"/>
              <w:jc w:val="both"/>
            </w:pPr>
            <w:r w:rsidRPr="00F96011">
              <w:t>La collecte de données est précédée</w:t>
            </w:r>
            <w:r w:rsidRPr="00F96011">
              <w:rPr>
                <w:color w:val="00B050"/>
              </w:rPr>
              <w:t xml:space="preserve"> </w:t>
            </w:r>
            <w:r w:rsidRPr="00F96011">
              <w:t xml:space="preserve">d’une étude préalable (recensement des charbonniers et des vulgarisations des techniques de carbonisation améliorée). Cette étape est suivie par une </w:t>
            </w:r>
            <w:r w:rsidR="000B62F7" w:rsidRPr="00670132">
              <w:t xml:space="preserve">formation sommaire des enquêteurs portant sur les objectifs et techniques de collecte de données afin qu’ils puissent agir avec le minimum de professionnalisme. </w:t>
            </w:r>
          </w:p>
          <w:p w14:paraId="50EC9875" w14:textId="19F5418B" w:rsidR="00F96011" w:rsidRPr="00F96011" w:rsidRDefault="00F96011" w:rsidP="008A6B56">
            <w:pPr>
              <w:spacing w:line="240" w:lineRule="auto"/>
              <w:jc w:val="both"/>
            </w:pPr>
            <w:r w:rsidRPr="00F96011">
              <w:t>Le Cantonnement forestier, les agents du ministère en charge de l’énergie et les différents partenaires s’occuperont de cette formation et de la supervision des enquêteurs engagés pour les travaux ; leur répartition dans les zones d’intervention relève de l’organisation du groupe par District.</w:t>
            </w:r>
            <w:r w:rsidRPr="00F96011">
              <w:rPr>
                <w:b/>
                <w:bCs/>
              </w:rPr>
              <w:t xml:space="preserve"> </w:t>
            </w:r>
          </w:p>
        </w:tc>
      </w:tr>
      <w:tr w:rsidR="00F96011" w:rsidRPr="00F96011" w14:paraId="7DB863C8"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75180A2" w14:textId="77777777" w:rsidR="00F96011" w:rsidRPr="00F96011" w:rsidRDefault="00F96011" w:rsidP="008A6B56">
            <w:pPr>
              <w:spacing w:line="240" w:lineRule="auto"/>
              <w:rPr>
                <w:b/>
                <w:bCs/>
              </w:rPr>
            </w:pPr>
            <w:r w:rsidRPr="00F96011">
              <w:rPr>
                <w:b/>
                <w:bCs/>
              </w:rPr>
              <w:t>Méthode de calcul</w:t>
            </w:r>
          </w:p>
        </w:tc>
        <w:tc>
          <w:tcPr>
            <w:tcW w:w="1954" w:type="pct"/>
            <w:gridSpan w:val="2"/>
            <w:tcBorders>
              <w:top w:val="single" w:sz="4" w:space="0" w:color="auto"/>
              <w:left w:val="single" w:sz="4" w:space="0" w:color="auto"/>
              <w:bottom w:val="single" w:sz="4" w:space="0" w:color="auto"/>
              <w:right w:val="nil"/>
            </w:tcBorders>
            <w:hideMark/>
          </w:tcPr>
          <w:p w14:paraId="2CC081E6" w14:textId="77777777" w:rsidR="00F96011" w:rsidRPr="00F96011" w:rsidRDefault="00F96011" w:rsidP="008A6B56">
            <w:pPr>
              <w:spacing w:line="240" w:lineRule="auto"/>
              <w:jc w:val="right"/>
              <w:rPr>
                <w:i/>
                <w:iCs/>
                <w:sz w:val="20"/>
                <w:szCs w:val="20"/>
              </w:rPr>
            </w:pPr>
            <w:r w:rsidRPr="00F96011">
              <w:rPr>
                <w:i/>
                <w:iCs/>
                <w:sz w:val="20"/>
                <w:szCs w:val="20"/>
              </w:rPr>
              <w:t>Quantité annuelle totale d’alternatives de cuisson produit</w:t>
            </w:r>
          </w:p>
        </w:tc>
        <w:tc>
          <w:tcPr>
            <w:tcW w:w="2032" w:type="pct"/>
            <w:tcBorders>
              <w:top w:val="single" w:sz="4" w:space="0" w:color="auto"/>
              <w:left w:val="nil"/>
              <w:bottom w:val="single" w:sz="4" w:space="0" w:color="auto"/>
              <w:right w:val="single" w:sz="4" w:space="0" w:color="auto"/>
            </w:tcBorders>
            <w:hideMark/>
          </w:tcPr>
          <w:p w14:paraId="70440D1F" w14:textId="2B5B8C47" w:rsidR="00F96011" w:rsidRPr="00F96011" w:rsidRDefault="00F96011" w:rsidP="008A6B56">
            <w:pPr>
              <w:spacing w:line="240" w:lineRule="auto"/>
              <w:rPr>
                <w:i/>
                <w:iCs/>
                <w:sz w:val="20"/>
                <w:szCs w:val="20"/>
              </w:rPr>
            </w:pPr>
            <w:r w:rsidRPr="00F96011">
              <w:rPr>
                <w:i/>
                <w:iCs/>
                <w:sz w:val="20"/>
                <w:szCs w:val="20"/>
              </w:rPr>
              <w:t>= Somme des quantités produites annuelles des alternatives (Biogaz</w:t>
            </w:r>
            <w:r w:rsidRPr="00F96011">
              <w:rPr>
                <w:b/>
                <w:bCs/>
                <w:i/>
                <w:iCs/>
                <w:sz w:val="20"/>
                <w:szCs w:val="20"/>
              </w:rPr>
              <w:t xml:space="preserve"> +</w:t>
            </w:r>
            <w:r w:rsidRPr="00F96011">
              <w:rPr>
                <w:i/>
                <w:iCs/>
                <w:sz w:val="20"/>
                <w:szCs w:val="20"/>
              </w:rPr>
              <w:t xml:space="preserve"> Bioéthanol </w:t>
            </w:r>
            <w:r w:rsidRPr="00F96011">
              <w:rPr>
                <w:b/>
                <w:bCs/>
                <w:i/>
                <w:iCs/>
                <w:sz w:val="20"/>
                <w:szCs w:val="20"/>
              </w:rPr>
              <w:t>+</w:t>
            </w:r>
            <w:r w:rsidRPr="00F96011">
              <w:rPr>
                <w:i/>
                <w:iCs/>
                <w:sz w:val="20"/>
                <w:szCs w:val="20"/>
              </w:rPr>
              <w:t xml:space="preserve"> Résidus agricoles/sous-produits </w:t>
            </w:r>
            <w:r w:rsidRPr="00F96011">
              <w:rPr>
                <w:b/>
                <w:bCs/>
                <w:i/>
                <w:iCs/>
                <w:sz w:val="20"/>
                <w:szCs w:val="20"/>
              </w:rPr>
              <w:t>+</w:t>
            </w:r>
            <w:r w:rsidRPr="00F96011">
              <w:rPr>
                <w:i/>
                <w:iCs/>
                <w:sz w:val="20"/>
                <w:szCs w:val="20"/>
              </w:rPr>
              <w:t xml:space="preserve"> Pétrole lampant</w:t>
            </w:r>
            <w:r w:rsidRPr="00F96011">
              <w:rPr>
                <w:b/>
                <w:bCs/>
                <w:i/>
                <w:iCs/>
                <w:sz w:val="20"/>
                <w:szCs w:val="20"/>
              </w:rPr>
              <w:t xml:space="preserve"> +</w:t>
            </w:r>
            <w:r w:rsidRPr="00F96011">
              <w:rPr>
                <w:i/>
                <w:iCs/>
                <w:sz w:val="20"/>
                <w:szCs w:val="20"/>
              </w:rPr>
              <w:t xml:space="preserve"> Electricité </w:t>
            </w:r>
            <w:r w:rsidRPr="00F96011">
              <w:rPr>
                <w:b/>
                <w:bCs/>
                <w:i/>
                <w:iCs/>
                <w:sz w:val="20"/>
                <w:szCs w:val="20"/>
              </w:rPr>
              <w:t>+</w:t>
            </w:r>
            <w:r w:rsidRPr="00F96011">
              <w:rPr>
                <w:i/>
                <w:iCs/>
                <w:sz w:val="20"/>
                <w:szCs w:val="20"/>
              </w:rPr>
              <w:t xml:space="preserve"> Gaz butane </w:t>
            </w:r>
            <w:r w:rsidRPr="00F96011">
              <w:rPr>
                <w:b/>
                <w:bCs/>
                <w:i/>
                <w:iCs/>
                <w:sz w:val="20"/>
                <w:szCs w:val="20"/>
              </w:rPr>
              <w:t>+</w:t>
            </w:r>
            <w:r w:rsidRPr="00F96011">
              <w:t xml:space="preserve"> </w:t>
            </w:r>
            <w:r w:rsidR="009A5517">
              <w:t>B</w:t>
            </w:r>
            <w:r w:rsidRPr="00F96011">
              <w:rPr>
                <w:i/>
                <w:iCs/>
                <w:sz w:val="20"/>
                <w:szCs w:val="20"/>
              </w:rPr>
              <w:t>riquette/charbon vert</w:t>
            </w:r>
            <w:r w:rsidR="009A5517">
              <w:rPr>
                <w:i/>
                <w:iCs/>
                <w:sz w:val="20"/>
                <w:szCs w:val="20"/>
              </w:rPr>
              <w:t>)</w:t>
            </w:r>
          </w:p>
        </w:tc>
      </w:tr>
      <w:tr w:rsidR="00F96011" w:rsidRPr="00F96011" w14:paraId="0B62FDF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5D8E3DF"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CAAB15D" w14:textId="7F9325E8" w:rsidR="00F96011" w:rsidRPr="00F96011" w:rsidRDefault="009A5517" w:rsidP="008A6B56">
            <w:pPr>
              <w:spacing w:line="240" w:lineRule="auto"/>
            </w:pPr>
            <w:r>
              <w:t>k</w:t>
            </w:r>
            <w:r w:rsidR="00F96011" w:rsidRPr="00F96011">
              <w:t>J</w:t>
            </w:r>
          </w:p>
        </w:tc>
      </w:tr>
      <w:tr w:rsidR="00F96011" w:rsidRPr="00F96011" w14:paraId="61969A0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FB61458"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37375A79" w14:textId="77777777" w:rsidR="00F96011" w:rsidRPr="00F96011" w:rsidRDefault="00F96011" w:rsidP="008A6B56">
            <w:pPr>
              <w:spacing w:line="240" w:lineRule="auto"/>
            </w:pPr>
            <w:r w:rsidRPr="00F96011">
              <w:t>Chaque année</w:t>
            </w:r>
          </w:p>
        </w:tc>
      </w:tr>
      <w:tr w:rsidR="00F96011" w:rsidRPr="00F96011" w14:paraId="5E574B0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99F5EEC"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22096AEA"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0E55986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5E72CD4"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20AFAB91" w14:textId="77777777" w:rsidR="00F96011" w:rsidRPr="00F96011" w:rsidRDefault="00F96011" w:rsidP="008A6B56">
            <w:pPr>
              <w:spacing w:line="240" w:lineRule="auto"/>
            </w:pPr>
            <w:r w:rsidRPr="00F96011">
              <w:t>Bonne</w:t>
            </w:r>
          </w:p>
        </w:tc>
      </w:tr>
    </w:tbl>
    <w:p w14:paraId="74231E97" w14:textId="77777777" w:rsidR="0013533D" w:rsidRDefault="0013533D" w:rsidP="008A6B56">
      <w:pPr>
        <w:spacing w:line="240" w:lineRule="auto"/>
        <w:rPr>
          <w:rFonts w:ascii="Calibri" w:eastAsia="Calibri" w:hAnsi="Calibri" w:cs="Times New Roman"/>
        </w:rPr>
      </w:pPr>
      <w:r>
        <w:rPr>
          <w:rFonts w:ascii="Calibri" w:eastAsia="Calibri" w:hAnsi="Calibri" w:cs="Times New Roman"/>
        </w:rPr>
        <w:br w:type="page"/>
      </w:r>
    </w:p>
    <w:tbl>
      <w:tblPr>
        <w:tblStyle w:val="Grilledutableau3"/>
        <w:tblW w:w="5000" w:type="pct"/>
        <w:tblInd w:w="0" w:type="dxa"/>
        <w:tblLook w:val="04A0" w:firstRow="1" w:lastRow="0" w:firstColumn="1" w:lastColumn="0" w:noHBand="0" w:noVBand="1"/>
      </w:tblPr>
      <w:tblGrid>
        <w:gridCol w:w="1837"/>
        <w:gridCol w:w="2552"/>
        <w:gridCol w:w="990"/>
        <w:gridCol w:w="3683"/>
      </w:tblGrid>
      <w:tr w:rsidR="00F96011" w:rsidRPr="00F96011" w14:paraId="37BEC4E9"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BDD6EE"/>
            <w:hideMark/>
          </w:tcPr>
          <w:p w14:paraId="73E87433" w14:textId="77777777" w:rsidR="00F96011" w:rsidRPr="00A92FDE" w:rsidRDefault="00F96011" w:rsidP="008A6B56">
            <w:pPr>
              <w:spacing w:line="240" w:lineRule="auto"/>
              <w:rPr>
                <w:b/>
                <w:bCs/>
              </w:rPr>
            </w:pPr>
            <w:r w:rsidRPr="00A92FDE">
              <w:rPr>
                <w:b/>
                <w:bCs/>
              </w:rPr>
              <w:lastRenderedPageBreak/>
              <w:t>Fiche N° 07</w:t>
            </w:r>
          </w:p>
        </w:tc>
      </w:tr>
      <w:tr w:rsidR="00F96011" w:rsidRPr="00F96011" w14:paraId="07A644EA"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2C94E634" w14:textId="5F9B4BE4" w:rsidR="00F96011" w:rsidRPr="00F96011" w:rsidRDefault="00F96011" w:rsidP="008A6B56">
            <w:pPr>
              <w:spacing w:line="240" w:lineRule="auto"/>
              <w:rPr>
                <w:b/>
                <w:bCs/>
              </w:rPr>
            </w:pPr>
            <w:r w:rsidRPr="00F96011">
              <w:t xml:space="preserve">Transformation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DEEAF6"/>
            <w:hideMark/>
          </w:tcPr>
          <w:p w14:paraId="67501E46" w14:textId="3B0BE023" w:rsidR="00F96011" w:rsidRPr="00F96011" w:rsidRDefault="00F96011" w:rsidP="008A6B56">
            <w:pPr>
              <w:pStyle w:val="Titre2"/>
              <w:spacing w:line="240" w:lineRule="auto"/>
              <w:outlineLvl w:val="1"/>
            </w:pPr>
            <w:bookmarkStart w:id="15" w:name="_Toc75162455"/>
            <w:r w:rsidRPr="00F96011">
              <w:t>Taux d'adoption des pratiques</w:t>
            </w:r>
            <w:r w:rsidR="009A5517">
              <w:t>/techniques</w:t>
            </w:r>
            <w:r w:rsidRPr="00F96011">
              <w:t xml:space="preserve"> de carbonisation améliorées par les charbonniers formellement recensés</w:t>
            </w:r>
            <w:bookmarkEnd w:id="15"/>
            <w:r w:rsidRPr="00F96011">
              <w:t xml:space="preserve"> </w:t>
            </w:r>
          </w:p>
        </w:tc>
      </w:tr>
      <w:tr w:rsidR="00F96011" w:rsidRPr="00F96011" w14:paraId="68914AA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0AE848D"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121FC9E6" w14:textId="77777777" w:rsidR="00F96011" w:rsidRPr="00F96011" w:rsidRDefault="00F96011" w:rsidP="008A6B56">
            <w:pPr>
              <w:autoSpaceDE w:val="0"/>
              <w:autoSpaceDN w:val="0"/>
              <w:adjustRightInd w:val="0"/>
              <w:spacing w:line="240" w:lineRule="auto"/>
              <w:jc w:val="both"/>
            </w:pPr>
            <w:r w:rsidRPr="00F96011">
              <w:t xml:space="preserve">Cet indicateur informe sur le pourcentage de charbonniers qui ont reçu une ou des formation(s) et ont adopté les techniques de carbonisation améliorée dans chaque District, chaque Région et au niveau national. L’importance de la formation est de sécuriser la ressource en bois et de l’efficacité de la transformation énergétique, en vue d’augmenter durablement le niveau de vie. </w:t>
            </w:r>
          </w:p>
        </w:tc>
      </w:tr>
      <w:tr w:rsidR="00F96011" w:rsidRPr="00F96011" w14:paraId="5F3A653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8E8E6AB"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09E60258" w14:textId="77777777" w:rsidR="00F96011" w:rsidRPr="00F96011" w:rsidRDefault="00F96011" w:rsidP="008A6B56">
            <w:pPr>
              <w:spacing w:line="240" w:lineRule="auto"/>
            </w:pPr>
            <w:r w:rsidRPr="00F96011">
              <w:t>- Nb total charbonniers formels</w:t>
            </w:r>
          </w:p>
          <w:p w14:paraId="57F4A3BD" w14:textId="77777777" w:rsidR="00F96011" w:rsidRPr="00F96011" w:rsidRDefault="00F96011" w:rsidP="008A6B56">
            <w:pPr>
              <w:spacing w:line="240" w:lineRule="auto"/>
            </w:pPr>
            <w:r w:rsidRPr="00F96011">
              <w:t>- Taux charbonniers formés aux techniques de carbonisation améliorées</w:t>
            </w:r>
          </w:p>
        </w:tc>
      </w:tr>
      <w:tr w:rsidR="00F96011" w:rsidRPr="00F96011" w14:paraId="1E6861C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E4A1432"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5AF5AFDC" w14:textId="77777777" w:rsidR="00F96011" w:rsidRPr="00F96011" w:rsidRDefault="00F96011" w:rsidP="008A6B56">
            <w:pPr>
              <w:spacing w:line="240" w:lineRule="auto"/>
              <w:rPr>
                <w:i/>
                <w:iCs/>
                <w:color w:val="00B050"/>
              </w:rPr>
            </w:pPr>
            <w:r w:rsidRPr="00F96011">
              <w:rPr>
                <w:i/>
                <w:iCs/>
              </w:rPr>
              <w:t>Fiche d’enquête charbonnier</w:t>
            </w:r>
          </w:p>
        </w:tc>
      </w:tr>
      <w:tr w:rsidR="00F96011" w:rsidRPr="00F96011" w14:paraId="71A5997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57B63B0"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09AC155B" w14:textId="77777777" w:rsidR="00F96011" w:rsidRPr="00F96011" w:rsidRDefault="00F96011" w:rsidP="008A6B56">
            <w:pPr>
              <w:spacing w:line="240" w:lineRule="auto"/>
            </w:pPr>
            <w:r w:rsidRPr="00F96011">
              <w:t xml:space="preserve">- Existence d’autorisation ou permis d’exploiter </w:t>
            </w:r>
          </w:p>
          <w:p w14:paraId="29BC034D" w14:textId="77777777" w:rsidR="00F96011" w:rsidRPr="00F96011" w:rsidRDefault="00F96011" w:rsidP="008A6B56">
            <w:pPr>
              <w:spacing w:line="240" w:lineRule="auto"/>
            </w:pPr>
            <w:r w:rsidRPr="00F96011">
              <w:t xml:space="preserve">- Type de technique de carbonisation pratiquée </w:t>
            </w:r>
          </w:p>
          <w:p w14:paraId="2CD76024" w14:textId="77777777" w:rsidR="00F96011" w:rsidRPr="00F96011" w:rsidRDefault="00F96011" w:rsidP="008A6B56">
            <w:pPr>
              <w:spacing w:line="240" w:lineRule="auto"/>
            </w:pPr>
            <w:r w:rsidRPr="00F96011">
              <w:t xml:space="preserve">- Participation à une/des formation(s) sur les techniques améliorées de carbonisation </w:t>
            </w:r>
          </w:p>
          <w:p w14:paraId="5D8FFD46" w14:textId="77777777" w:rsidR="00F96011" w:rsidRPr="00F96011" w:rsidRDefault="00F96011" w:rsidP="008A6B56">
            <w:pPr>
              <w:spacing w:line="240" w:lineRule="auto"/>
            </w:pPr>
            <w:r w:rsidRPr="00F96011">
              <w:t>- Formateur / organisateur de la formation</w:t>
            </w:r>
          </w:p>
          <w:p w14:paraId="77F4491B" w14:textId="77777777" w:rsidR="00F96011" w:rsidRPr="00F96011" w:rsidRDefault="00F96011" w:rsidP="008A6B56">
            <w:pPr>
              <w:spacing w:line="240" w:lineRule="auto"/>
            </w:pPr>
            <w:r w:rsidRPr="00F96011">
              <w:t>- Temps de pratique de techniques améliorées de carbonisation</w:t>
            </w:r>
          </w:p>
        </w:tc>
      </w:tr>
      <w:tr w:rsidR="00F96011" w:rsidRPr="00F96011" w14:paraId="4B00419B" w14:textId="77777777" w:rsidTr="00CB6946">
        <w:tc>
          <w:tcPr>
            <w:tcW w:w="1014" w:type="pct"/>
            <w:tcBorders>
              <w:top w:val="single" w:sz="4" w:space="0" w:color="auto"/>
              <w:left w:val="single" w:sz="4" w:space="0" w:color="auto"/>
              <w:bottom w:val="single" w:sz="4" w:space="0" w:color="auto"/>
              <w:right w:val="single" w:sz="4" w:space="0" w:color="auto"/>
            </w:tcBorders>
            <w:hideMark/>
          </w:tcPr>
          <w:p w14:paraId="78FDC325"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23DCB4F9" w14:textId="51EE15C3" w:rsidR="000B62F7" w:rsidRPr="00670132" w:rsidRDefault="00F96011" w:rsidP="008A6B56">
            <w:pPr>
              <w:spacing w:line="240" w:lineRule="auto"/>
              <w:jc w:val="both"/>
            </w:pPr>
            <w:r w:rsidRPr="00F96011">
              <w:t>La collecte de données est précédée</w:t>
            </w:r>
            <w:r w:rsidRPr="00F96011">
              <w:rPr>
                <w:color w:val="00B050"/>
              </w:rPr>
              <w:t xml:space="preserve"> </w:t>
            </w:r>
            <w:r w:rsidRPr="00F96011">
              <w:t xml:space="preserve">d’une étude préalable (recensement des charbonniers et des vulgarisations des techniques de carbonisation améliorée). Cette étape est suivie par une formation </w:t>
            </w:r>
            <w:r w:rsidR="000B62F7" w:rsidRPr="00670132">
              <w:t xml:space="preserve">sommaire des enquêteurs portant sur les objectifs et techniques de collecte de données afin qu’ils puissent agir avec le minimum de professionnalisme. </w:t>
            </w:r>
          </w:p>
          <w:p w14:paraId="05DEAF85" w14:textId="65178959" w:rsidR="00F96011" w:rsidRPr="00F96011" w:rsidRDefault="00F96011" w:rsidP="008A6B56">
            <w:pPr>
              <w:spacing w:line="240" w:lineRule="auto"/>
              <w:jc w:val="both"/>
            </w:pPr>
            <w:r w:rsidRPr="00F96011">
              <w:t>. Le Cantonnement forestier, les agents du ministère en charge de l’énergie et les différents partenaires s’occuperont de cette formation et de la supervision des enquêteurs engagés pour les travaux ; leur répartition dans les zones d’intervention relève de l’organisation du groupe par District.</w:t>
            </w:r>
          </w:p>
        </w:tc>
      </w:tr>
      <w:tr w:rsidR="00CB6946" w:rsidRPr="00F96011" w14:paraId="255D2655" w14:textId="77777777" w:rsidTr="00CB6946">
        <w:tc>
          <w:tcPr>
            <w:tcW w:w="1014" w:type="pct"/>
            <w:vMerge w:val="restart"/>
            <w:tcBorders>
              <w:top w:val="single" w:sz="4" w:space="0" w:color="auto"/>
              <w:left w:val="single" w:sz="4" w:space="0" w:color="auto"/>
              <w:right w:val="single" w:sz="4" w:space="0" w:color="auto"/>
            </w:tcBorders>
            <w:hideMark/>
          </w:tcPr>
          <w:p w14:paraId="63E1AB4D" w14:textId="77777777" w:rsidR="00CB6946" w:rsidRPr="00F96011" w:rsidRDefault="00CB6946" w:rsidP="008A6B56">
            <w:pPr>
              <w:spacing w:line="240" w:lineRule="auto"/>
              <w:rPr>
                <w:b/>
                <w:bCs/>
              </w:rPr>
            </w:pPr>
            <w:r w:rsidRPr="00F96011">
              <w:rPr>
                <w:b/>
                <w:bCs/>
              </w:rPr>
              <w:t xml:space="preserve">Méthode de calcul </w:t>
            </w:r>
          </w:p>
        </w:tc>
        <w:tc>
          <w:tcPr>
            <w:tcW w:w="1954" w:type="pct"/>
            <w:gridSpan w:val="2"/>
            <w:tcBorders>
              <w:top w:val="single" w:sz="4" w:space="0" w:color="auto"/>
              <w:left w:val="single" w:sz="4" w:space="0" w:color="auto"/>
              <w:bottom w:val="nil"/>
              <w:right w:val="nil"/>
            </w:tcBorders>
          </w:tcPr>
          <w:p w14:paraId="7B57BF85" w14:textId="5F210185" w:rsidR="00CB6946" w:rsidRPr="00F96011" w:rsidRDefault="00CB6946" w:rsidP="008A6B56">
            <w:pPr>
              <w:spacing w:line="240" w:lineRule="auto"/>
              <w:jc w:val="right"/>
              <w:rPr>
                <w:i/>
                <w:iCs/>
                <w:sz w:val="20"/>
                <w:szCs w:val="20"/>
              </w:rPr>
            </w:pPr>
            <w:r w:rsidRPr="00F96011">
              <w:rPr>
                <w:i/>
                <w:iCs/>
                <w:sz w:val="20"/>
                <w:szCs w:val="20"/>
              </w:rPr>
              <w:t>Taux moyen de charbonniers formés aux techniques de carbonisation améliorée par District</w:t>
            </w:r>
          </w:p>
          <w:p w14:paraId="705B3917" w14:textId="3C8A1F2A" w:rsidR="00CB6946" w:rsidRPr="00F96011" w:rsidRDefault="00CB6946" w:rsidP="008A6B56">
            <w:pPr>
              <w:spacing w:line="240" w:lineRule="auto"/>
              <w:jc w:val="right"/>
              <w:rPr>
                <w:i/>
                <w:iCs/>
                <w:sz w:val="20"/>
                <w:szCs w:val="20"/>
              </w:rPr>
            </w:pPr>
          </w:p>
        </w:tc>
        <w:tc>
          <w:tcPr>
            <w:tcW w:w="2032" w:type="pct"/>
            <w:tcBorders>
              <w:top w:val="single" w:sz="4" w:space="0" w:color="auto"/>
              <w:left w:val="nil"/>
              <w:bottom w:val="nil"/>
              <w:right w:val="single" w:sz="4" w:space="0" w:color="auto"/>
            </w:tcBorders>
          </w:tcPr>
          <w:p w14:paraId="261CA88C" w14:textId="77777777" w:rsidR="00CB6946" w:rsidRDefault="00CB6946" w:rsidP="008A6B56">
            <w:pPr>
              <w:spacing w:line="240" w:lineRule="auto"/>
              <w:rPr>
                <w:i/>
                <w:iCs/>
                <w:sz w:val="20"/>
                <w:szCs w:val="20"/>
              </w:rPr>
            </w:pPr>
            <w:r w:rsidRPr="00F96011">
              <w:rPr>
                <w:i/>
                <w:iCs/>
                <w:sz w:val="20"/>
                <w:szCs w:val="20"/>
              </w:rPr>
              <w:t>= Nombre charbonniers formés * 100 / nombre total de charbonniers dans le District chaque année</w:t>
            </w:r>
          </w:p>
          <w:p w14:paraId="0687DE05" w14:textId="24673302" w:rsidR="00CB6946" w:rsidRPr="00F96011" w:rsidRDefault="00CB6946" w:rsidP="008A6B56">
            <w:pPr>
              <w:spacing w:line="240" w:lineRule="auto"/>
              <w:rPr>
                <w:i/>
                <w:iCs/>
                <w:sz w:val="20"/>
                <w:szCs w:val="20"/>
              </w:rPr>
            </w:pPr>
          </w:p>
        </w:tc>
      </w:tr>
      <w:tr w:rsidR="00CB6946" w:rsidRPr="00F96011" w14:paraId="15790836" w14:textId="77777777" w:rsidTr="00CB6946">
        <w:tc>
          <w:tcPr>
            <w:tcW w:w="1014" w:type="pct"/>
            <w:vMerge/>
            <w:tcBorders>
              <w:left w:val="single" w:sz="4" w:space="0" w:color="auto"/>
              <w:right w:val="single" w:sz="4" w:space="0" w:color="auto"/>
            </w:tcBorders>
          </w:tcPr>
          <w:p w14:paraId="5BFE7729" w14:textId="77777777" w:rsidR="00CB6946" w:rsidRPr="00F96011" w:rsidRDefault="00CB6946" w:rsidP="008A6B56">
            <w:pPr>
              <w:spacing w:line="240" w:lineRule="auto"/>
              <w:rPr>
                <w:b/>
                <w:bCs/>
              </w:rPr>
            </w:pPr>
          </w:p>
        </w:tc>
        <w:tc>
          <w:tcPr>
            <w:tcW w:w="1954" w:type="pct"/>
            <w:gridSpan w:val="2"/>
            <w:tcBorders>
              <w:top w:val="nil"/>
              <w:left w:val="single" w:sz="4" w:space="0" w:color="auto"/>
              <w:bottom w:val="nil"/>
              <w:right w:val="nil"/>
            </w:tcBorders>
          </w:tcPr>
          <w:p w14:paraId="51407E09" w14:textId="77777777" w:rsidR="00CB6946" w:rsidRPr="00F96011" w:rsidRDefault="00CB6946" w:rsidP="008A6B56">
            <w:pPr>
              <w:spacing w:line="240" w:lineRule="auto"/>
              <w:jc w:val="right"/>
              <w:rPr>
                <w:i/>
                <w:iCs/>
                <w:sz w:val="20"/>
                <w:szCs w:val="20"/>
              </w:rPr>
            </w:pPr>
            <w:r w:rsidRPr="00F96011">
              <w:rPr>
                <w:i/>
                <w:iCs/>
                <w:sz w:val="20"/>
                <w:szCs w:val="20"/>
              </w:rPr>
              <w:t>Taux moyen de charbonniers formés aux techniques de carbonisation améliorée par Région</w:t>
            </w:r>
          </w:p>
          <w:p w14:paraId="4C2E4592" w14:textId="77777777" w:rsidR="00CB6946" w:rsidRPr="00F96011" w:rsidRDefault="00CB6946" w:rsidP="008A6B56">
            <w:pPr>
              <w:spacing w:line="240" w:lineRule="auto"/>
              <w:jc w:val="right"/>
              <w:rPr>
                <w:i/>
                <w:iCs/>
                <w:sz w:val="20"/>
                <w:szCs w:val="20"/>
              </w:rPr>
            </w:pPr>
          </w:p>
        </w:tc>
        <w:tc>
          <w:tcPr>
            <w:tcW w:w="2032" w:type="pct"/>
            <w:tcBorders>
              <w:top w:val="nil"/>
              <w:left w:val="nil"/>
              <w:bottom w:val="nil"/>
              <w:right w:val="single" w:sz="4" w:space="0" w:color="auto"/>
            </w:tcBorders>
          </w:tcPr>
          <w:p w14:paraId="35D283D1" w14:textId="77777777" w:rsidR="00CB6946" w:rsidRPr="00F96011" w:rsidRDefault="00CB6946" w:rsidP="008A6B56">
            <w:pPr>
              <w:spacing w:line="240" w:lineRule="auto"/>
              <w:rPr>
                <w:i/>
                <w:iCs/>
                <w:sz w:val="20"/>
                <w:szCs w:val="20"/>
              </w:rPr>
            </w:pPr>
            <w:r w:rsidRPr="00F96011">
              <w:rPr>
                <w:i/>
                <w:iCs/>
                <w:sz w:val="20"/>
                <w:szCs w:val="20"/>
              </w:rPr>
              <w:t>= Somme des taux de charbonniers formés aux techniques de carbonisation améliorée dans la Région / nombre de District dans la Région</w:t>
            </w:r>
          </w:p>
          <w:p w14:paraId="262FDE8A" w14:textId="77777777" w:rsidR="00CB6946" w:rsidRPr="00F96011" w:rsidRDefault="00CB6946" w:rsidP="008A6B56">
            <w:pPr>
              <w:spacing w:line="240" w:lineRule="auto"/>
              <w:rPr>
                <w:i/>
                <w:iCs/>
                <w:sz w:val="20"/>
                <w:szCs w:val="20"/>
              </w:rPr>
            </w:pPr>
          </w:p>
        </w:tc>
      </w:tr>
      <w:tr w:rsidR="00CB6946" w:rsidRPr="00F96011" w14:paraId="06FDA25A" w14:textId="77777777" w:rsidTr="00CB6946">
        <w:tc>
          <w:tcPr>
            <w:tcW w:w="1014" w:type="pct"/>
            <w:vMerge/>
            <w:tcBorders>
              <w:left w:val="single" w:sz="4" w:space="0" w:color="auto"/>
              <w:right w:val="single" w:sz="4" w:space="0" w:color="auto"/>
            </w:tcBorders>
          </w:tcPr>
          <w:p w14:paraId="70BA0402" w14:textId="77777777" w:rsidR="00CB6946" w:rsidRPr="00F96011" w:rsidRDefault="00CB6946" w:rsidP="008A6B56">
            <w:pPr>
              <w:spacing w:line="240" w:lineRule="auto"/>
              <w:rPr>
                <w:b/>
                <w:bCs/>
              </w:rPr>
            </w:pPr>
          </w:p>
        </w:tc>
        <w:tc>
          <w:tcPr>
            <w:tcW w:w="1954" w:type="pct"/>
            <w:gridSpan w:val="2"/>
            <w:tcBorders>
              <w:top w:val="nil"/>
              <w:left w:val="single" w:sz="4" w:space="0" w:color="auto"/>
              <w:bottom w:val="nil"/>
              <w:right w:val="nil"/>
            </w:tcBorders>
          </w:tcPr>
          <w:p w14:paraId="2B38A7C1" w14:textId="453A10D0" w:rsidR="00CB6946" w:rsidRPr="00F96011" w:rsidRDefault="00CB6946" w:rsidP="008A6B56">
            <w:pPr>
              <w:spacing w:line="240" w:lineRule="auto"/>
              <w:jc w:val="right"/>
              <w:rPr>
                <w:i/>
                <w:iCs/>
                <w:sz w:val="20"/>
                <w:szCs w:val="20"/>
              </w:rPr>
            </w:pPr>
            <w:r w:rsidRPr="00F96011">
              <w:rPr>
                <w:i/>
                <w:iCs/>
                <w:sz w:val="20"/>
                <w:szCs w:val="20"/>
              </w:rPr>
              <w:t>Taux moyen de charbonniers formés aux techniques de carbonisation améliorée au niveau national</w:t>
            </w:r>
          </w:p>
        </w:tc>
        <w:tc>
          <w:tcPr>
            <w:tcW w:w="2032" w:type="pct"/>
            <w:tcBorders>
              <w:top w:val="nil"/>
              <w:left w:val="nil"/>
              <w:bottom w:val="nil"/>
              <w:right w:val="single" w:sz="4" w:space="0" w:color="auto"/>
            </w:tcBorders>
          </w:tcPr>
          <w:p w14:paraId="2995353B" w14:textId="77777777" w:rsidR="00CB6946" w:rsidRDefault="00CB6946" w:rsidP="008A6B56">
            <w:pPr>
              <w:spacing w:line="240" w:lineRule="auto"/>
              <w:rPr>
                <w:i/>
                <w:iCs/>
                <w:sz w:val="20"/>
                <w:szCs w:val="20"/>
              </w:rPr>
            </w:pPr>
            <w:r w:rsidRPr="00F96011">
              <w:rPr>
                <w:i/>
                <w:iCs/>
                <w:sz w:val="20"/>
                <w:szCs w:val="20"/>
              </w:rPr>
              <w:t>= Somme des taux de charbonniers formés aux techniques de carbonisation améliorée par District / nombre de District</w:t>
            </w:r>
          </w:p>
          <w:p w14:paraId="378867A9" w14:textId="5FA3CA4F" w:rsidR="008A6B56" w:rsidRPr="00F96011" w:rsidRDefault="008A6B56" w:rsidP="008A6B56">
            <w:pPr>
              <w:spacing w:line="240" w:lineRule="auto"/>
              <w:rPr>
                <w:i/>
                <w:iCs/>
                <w:sz w:val="20"/>
                <w:szCs w:val="20"/>
              </w:rPr>
            </w:pPr>
          </w:p>
        </w:tc>
      </w:tr>
      <w:tr w:rsidR="00CB6946" w:rsidRPr="00F96011" w14:paraId="0148AF3A" w14:textId="77777777" w:rsidTr="00CB6946">
        <w:tc>
          <w:tcPr>
            <w:tcW w:w="1014" w:type="pct"/>
            <w:vMerge/>
            <w:tcBorders>
              <w:left w:val="single" w:sz="4" w:space="0" w:color="auto"/>
              <w:bottom w:val="single" w:sz="4" w:space="0" w:color="auto"/>
              <w:right w:val="single" w:sz="4" w:space="0" w:color="auto"/>
            </w:tcBorders>
          </w:tcPr>
          <w:p w14:paraId="21EF4E93" w14:textId="77777777" w:rsidR="00CB6946" w:rsidRPr="00F96011" w:rsidRDefault="00CB6946" w:rsidP="008A6B56">
            <w:pPr>
              <w:spacing w:line="240" w:lineRule="auto"/>
              <w:rPr>
                <w:b/>
                <w:bCs/>
              </w:rPr>
            </w:pPr>
          </w:p>
        </w:tc>
        <w:tc>
          <w:tcPr>
            <w:tcW w:w="1954" w:type="pct"/>
            <w:gridSpan w:val="2"/>
            <w:tcBorders>
              <w:top w:val="nil"/>
              <w:left w:val="single" w:sz="4" w:space="0" w:color="auto"/>
              <w:bottom w:val="single" w:sz="4" w:space="0" w:color="auto"/>
              <w:right w:val="nil"/>
            </w:tcBorders>
          </w:tcPr>
          <w:p w14:paraId="74A61CCA" w14:textId="19DA7403" w:rsidR="00CB6946" w:rsidRPr="00F96011" w:rsidRDefault="00CB6946" w:rsidP="008A6B56">
            <w:pPr>
              <w:spacing w:line="240" w:lineRule="auto"/>
              <w:jc w:val="right"/>
              <w:rPr>
                <w:i/>
                <w:iCs/>
                <w:sz w:val="20"/>
                <w:szCs w:val="20"/>
              </w:rPr>
            </w:pPr>
            <w:r w:rsidRPr="00F96011">
              <w:rPr>
                <w:i/>
                <w:iCs/>
                <w:sz w:val="20"/>
                <w:szCs w:val="20"/>
              </w:rPr>
              <w:t>Taux de charbonniers pratiquant la TAC</w:t>
            </w:r>
          </w:p>
        </w:tc>
        <w:tc>
          <w:tcPr>
            <w:tcW w:w="2032" w:type="pct"/>
            <w:tcBorders>
              <w:top w:val="nil"/>
              <w:left w:val="nil"/>
              <w:bottom w:val="single" w:sz="4" w:space="0" w:color="auto"/>
              <w:right w:val="single" w:sz="4" w:space="0" w:color="auto"/>
            </w:tcBorders>
          </w:tcPr>
          <w:p w14:paraId="23AB64D9" w14:textId="1E1AFB5B" w:rsidR="00CB6946" w:rsidRPr="00F96011" w:rsidRDefault="00CB6946" w:rsidP="008A6B56">
            <w:pPr>
              <w:spacing w:line="240" w:lineRule="auto"/>
              <w:rPr>
                <w:i/>
                <w:iCs/>
                <w:sz w:val="20"/>
                <w:szCs w:val="20"/>
              </w:rPr>
            </w:pPr>
            <w:r w:rsidRPr="00F96011">
              <w:rPr>
                <w:i/>
                <w:iCs/>
                <w:sz w:val="20"/>
                <w:szCs w:val="20"/>
              </w:rPr>
              <w:t>= Nombre charbonniers pratiquant</w:t>
            </w:r>
            <w:r>
              <w:rPr>
                <w:i/>
                <w:iCs/>
                <w:sz w:val="20"/>
                <w:szCs w:val="20"/>
              </w:rPr>
              <w:t xml:space="preserve"> </w:t>
            </w:r>
            <w:r w:rsidRPr="00F96011">
              <w:rPr>
                <w:i/>
                <w:iCs/>
                <w:sz w:val="20"/>
                <w:szCs w:val="20"/>
              </w:rPr>
              <w:t xml:space="preserve">la TAC * 100 / nombre total de charbonniers dans le </w:t>
            </w:r>
            <w:r w:rsidRPr="009A5517">
              <w:rPr>
                <w:i/>
                <w:iCs/>
                <w:sz w:val="20"/>
                <w:szCs w:val="20"/>
              </w:rPr>
              <w:t>District</w:t>
            </w:r>
            <w:r w:rsidRPr="00F96011">
              <w:rPr>
                <w:i/>
                <w:iCs/>
                <w:sz w:val="20"/>
                <w:szCs w:val="20"/>
              </w:rPr>
              <w:t xml:space="preserve"> chaque année</w:t>
            </w:r>
          </w:p>
        </w:tc>
      </w:tr>
      <w:tr w:rsidR="00F96011" w:rsidRPr="00F96011" w14:paraId="6770D558"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1944D6B"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316AC0BD" w14:textId="77777777" w:rsidR="00F96011" w:rsidRPr="00F96011" w:rsidRDefault="00F96011" w:rsidP="008A6B56">
            <w:pPr>
              <w:spacing w:line="240" w:lineRule="auto"/>
            </w:pPr>
            <w:r w:rsidRPr="00F96011">
              <w:t>Pourcentage</w:t>
            </w:r>
          </w:p>
        </w:tc>
      </w:tr>
      <w:tr w:rsidR="00F96011" w:rsidRPr="00F96011" w14:paraId="25C2F99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EB58FA2"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6542958" w14:textId="77777777" w:rsidR="00F96011" w:rsidRPr="00F96011" w:rsidRDefault="00F96011" w:rsidP="008A6B56">
            <w:pPr>
              <w:spacing w:line="240" w:lineRule="auto"/>
            </w:pPr>
            <w:r w:rsidRPr="00F96011">
              <w:t>Chaque année</w:t>
            </w:r>
          </w:p>
        </w:tc>
      </w:tr>
      <w:tr w:rsidR="00F96011" w:rsidRPr="00F96011" w14:paraId="4117BAD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3EE3A40"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253D70A9"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7F1BA0B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667B3D4"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136AB12C" w14:textId="77777777" w:rsidR="00F96011" w:rsidRPr="00F96011" w:rsidRDefault="00F96011" w:rsidP="008A6B56">
            <w:pPr>
              <w:spacing w:line="240" w:lineRule="auto"/>
            </w:pPr>
            <w:r w:rsidRPr="00F96011">
              <w:t>Bonne</w:t>
            </w:r>
          </w:p>
        </w:tc>
      </w:tr>
      <w:tr w:rsidR="00F96011" w:rsidRPr="00F96011" w14:paraId="7A88010C"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BDD6EE"/>
            <w:hideMark/>
          </w:tcPr>
          <w:p w14:paraId="21DB70ED" w14:textId="7D2A16A8" w:rsidR="00F96011" w:rsidRPr="00A92FDE" w:rsidRDefault="00F96011" w:rsidP="008A6B56">
            <w:pPr>
              <w:spacing w:line="240" w:lineRule="auto"/>
              <w:rPr>
                <w:b/>
                <w:bCs/>
              </w:rPr>
            </w:pPr>
            <w:r w:rsidRPr="00A92FDE">
              <w:rPr>
                <w:b/>
                <w:bCs/>
              </w:rPr>
              <w:lastRenderedPageBreak/>
              <w:t>Fiche N° 08</w:t>
            </w:r>
          </w:p>
        </w:tc>
      </w:tr>
      <w:tr w:rsidR="00F96011" w:rsidRPr="00F96011" w14:paraId="0B48DE28"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4E9D181A" w14:textId="257E21FF" w:rsidR="00F96011" w:rsidRPr="00F96011" w:rsidRDefault="00F96011" w:rsidP="008A6B56">
            <w:pPr>
              <w:spacing w:line="240" w:lineRule="auto"/>
              <w:rPr>
                <w:b/>
                <w:bCs/>
              </w:rPr>
            </w:pPr>
            <w:r w:rsidRPr="00F96011">
              <w:t xml:space="preserve">Transformation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DEEAF6"/>
            <w:hideMark/>
          </w:tcPr>
          <w:p w14:paraId="7BB28944" w14:textId="77777777" w:rsidR="00F96011" w:rsidRPr="00F96011" w:rsidRDefault="00F96011" w:rsidP="008A6B56">
            <w:pPr>
              <w:pStyle w:val="Titre2"/>
              <w:spacing w:line="240" w:lineRule="auto"/>
              <w:outlineLvl w:val="1"/>
            </w:pPr>
            <w:bookmarkStart w:id="16" w:name="_Toc75162456"/>
            <w:r w:rsidRPr="00F96011">
              <w:t>Pourcentage moyen de production de charbon de bois par type de technique de carbonisation</w:t>
            </w:r>
            <w:bookmarkEnd w:id="16"/>
            <w:r w:rsidRPr="00F96011">
              <w:t xml:space="preserve"> </w:t>
            </w:r>
          </w:p>
        </w:tc>
      </w:tr>
      <w:tr w:rsidR="00F96011" w:rsidRPr="00F96011" w14:paraId="63FCCCA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57F601A"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0296886F" w14:textId="77777777" w:rsidR="00F96011" w:rsidRPr="00F96011" w:rsidRDefault="00F96011" w:rsidP="008A6B56">
            <w:pPr>
              <w:autoSpaceDE w:val="0"/>
              <w:autoSpaceDN w:val="0"/>
              <w:adjustRightInd w:val="0"/>
              <w:spacing w:line="240" w:lineRule="auto"/>
              <w:jc w:val="both"/>
            </w:pPr>
            <w:r w:rsidRPr="00F96011">
              <w:t>La technique de carbonisation améliorée permet de raccourcir le temps de carbonisation et un meilleur rendement pondéral de charbon de bois.</w:t>
            </w:r>
            <w:r w:rsidRPr="00F96011">
              <w:rPr>
                <w:rFonts w:ascii="Times New Roman" w:hAnsi="Times New Roman"/>
              </w:rPr>
              <w:t xml:space="preserve"> </w:t>
            </w:r>
            <w:r w:rsidRPr="00F96011">
              <w:t>Le but de cet indicateur est de connaitre quel type de technique de carbonisation contribue le plus à la production de charbon de bois dans chaque District, chaque Région et au niveau national.</w:t>
            </w:r>
            <w:r w:rsidRPr="00F96011">
              <w:rPr>
                <w:color w:val="00B050"/>
              </w:rPr>
              <w:t xml:space="preserve"> </w:t>
            </w:r>
          </w:p>
        </w:tc>
      </w:tr>
      <w:tr w:rsidR="00F96011" w:rsidRPr="00F96011" w14:paraId="29060D4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443598A"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56CEE92F" w14:textId="77777777" w:rsidR="00F96011" w:rsidRPr="00F96011" w:rsidRDefault="00F96011" w:rsidP="008A6B56">
            <w:pPr>
              <w:spacing w:line="240" w:lineRule="auto"/>
            </w:pPr>
            <w:r w:rsidRPr="00F96011">
              <w:t>- Rendement moyen par type de technique de carbonisation (%)</w:t>
            </w:r>
          </w:p>
          <w:p w14:paraId="5AD49933" w14:textId="77777777" w:rsidR="00F96011" w:rsidRPr="00F96011" w:rsidRDefault="00F96011" w:rsidP="008A6B56">
            <w:pPr>
              <w:spacing w:line="240" w:lineRule="auto"/>
            </w:pPr>
          </w:p>
        </w:tc>
      </w:tr>
      <w:tr w:rsidR="00F96011" w:rsidRPr="00F96011" w14:paraId="35C1AC0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838F94B"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6CC0A688" w14:textId="77777777" w:rsidR="00F96011" w:rsidRPr="00F96011" w:rsidRDefault="00F96011" w:rsidP="008A6B56">
            <w:pPr>
              <w:spacing w:after="255" w:line="240" w:lineRule="auto"/>
              <w:contextualSpacing/>
              <w:rPr>
                <w:i/>
                <w:iCs/>
              </w:rPr>
            </w:pPr>
            <w:r w:rsidRPr="00F96011">
              <w:rPr>
                <w:i/>
                <w:iCs/>
              </w:rPr>
              <w:t>Fiche d’enquête charbonnier</w:t>
            </w:r>
          </w:p>
        </w:tc>
      </w:tr>
      <w:tr w:rsidR="00F96011" w:rsidRPr="00F96011" w14:paraId="794093DC"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1F0CBA0"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6DC09F79" w14:textId="77777777" w:rsidR="00F96011" w:rsidRPr="00F96011" w:rsidRDefault="00F96011" w:rsidP="008A6B56">
            <w:pPr>
              <w:numPr>
                <w:ilvl w:val="0"/>
                <w:numId w:val="8"/>
              </w:numPr>
              <w:spacing w:line="240" w:lineRule="auto"/>
              <w:ind w:left="99" w:hanging="142"/>
              <w:contextualSpacing/>
            </w:pPr>
            <w:r w:rsidRPr="00F96011">
              <w:t xml:space="preserve">Existence d’autorisation ou permis d’exploiter </w:t>
            </w:r>
          </w:p>
          <w:p w14:paraId="11B2E9CF" w14:textId="77777777" w:rsidR="00F96011" w:rsidRPr="00F96011" w:rsidRDefault="00F96011" w:rsidP="008A6B56">
            <w:pPr>
              <w:numPr>
                <w:ilvl w:val="0"/>
                <w:numId w:val="8"/>
              </w:numPr>
              <w:spacing w:line="240" w:lineRule="auto"/>
              <w:ind w:left="99" w:hanging="142"/>
              <w:contextualSpacing/>
            </w:pPr>
            <w:r w:rsidRPr="00F96011">
              <w:t xml:space="preserve">Type de technique de carbonisation utilisée </w:t>
            </w:r>
          </w:p>
          <w:p w14:paraId="17C05FA0" w14:textId="77777777" w:rsidR="00F96011" w:rsidRPr="00F96011" w:rsidRDefault="00F96011" w:rsidP="008A6B56">
            <w:pPr>
              <w:numPr>
                <w:ilvl w:val="0"/>
                <w:numId w:val="8"/>
              </w:numPr>
              <w:spacing w:line="240" w:lineRule="auto"/>
              <w:ind w:left="99" w:hanging="142"/>
              <w:contextualSpacing/>
            </w:pPr>
            <w:r w:rsidRPr="00F96011">
              <w:t>Quantité de bois utilisé (kg)</w:t>
            </w:r>
          </w:p>
          <w:p w14:paraId="4A214428" w14:textId="77777777" w:rsidR="00F96011" w:rsidRPr="00F96011" w:rsidRDefault="00F96011" w:rsidP="008A6B56">
            <w:pPr>
              <w:numPr>
                <w:ilvl w:val="0"/>
                <w:numId w:val="8"/>
              </w:numPr>
              <w:spacing w:line="240" w:lineRule="auto"/>
              <w:ind w:left="99" w:hanging="142"/>
              <w:contextualSpacing/>
            </w:pPr>
            <w:r w:rsidRPr="00F96011">
              <w:t>Quantité de charbon de bois produit (kg)</w:t>
            </w:r>
          </w:p>
        </w:tc>
      </w:tr>
      <w:tr w:rsidR="00F96011" w:rsidRPr="00F96011" w14:paraId="2D4215F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D755D40"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160C6349" w14:textId="47F6F85C" w:rsidR="00DF1F54" w:rsidRPr="00670132" w:rsidRDefault="00F96011" w:rsidP="008A6B56">
            <w:pPr>
              <w:spacing w:line="240" w:lineRule="auto"/>
              <w:jc w:val="both"/>
            </w:pPr>
            <w:r w:rsidRPr="00F96011">
              <w:t xml:space="preserve">La collecte de données est précédée d’une étude préalable (recensement des charbonniers et des vulgarisations des techniques de carbonisation améliorée). Cette étape est suivie par une formation des enquêteurs </w:t>
            </w:r>
            <w:r w:rsidR="00DF1F54" w:rsidRPr="00670132">
              <w:t xml:space="preserve">portant sur les objectifs et techniques de collecte de données afin qu’ils puissent agir avec le minimum de professionnalisme. </w:t>
            </w:r>
          </w:p>
          <w:p w14:paraId="123C457A" w14:textId="7449A2C9" w:rsidR="00F96011" w:rsidRPr="00F96011" w:rsidRDefault="00F96011" w:rsidP="008A6B56">
            <w:pPr>
              <w:spacing w:line="240" w:lineRule="auto"/>
              <w:jc w:val="both"/>
            </w:pPr>
            <w:r w:rsidRPr="00F96011">
              <w:t>. Le Cantonnement forestier, les agents du ministère en charge de l’énergie et les différents partenaires s’occuperont de cette formation et de la supervision des enquêteurs engagés pour les travaux ; leur répartition dans les zones d’intervention relève de l’organisation du groupe par District.</w:t>
            </w:r>
          </w:p>
        </w:tc>
      </w:tr>
      <w:tr w:rsidR="00F96011" w:rsidRPr="00F96011" w14:paraId="2F77375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B507001" w14:textId="77777777" w:rsidR="00F96011" w:rsidRPr="00F96011" w:rsidRDefault="00F96011" w:rsidP="008A6B56">
            <w:pPr>
              <w:spacing w:line="240" w:lineRule="auto"/>
              <w:rPr>
                <w:b/>
                <w:bCs/>
              </w:rPr>
            </w:pPr>
            <w:r w:rsidRPr="00F96011">
              <w:rPr>
                <w:b/>
                <w:bCs/>
              </w:rPr>
              <w:t xml:space="preserve">Méthode de calcul </w:t>
            </w:r>
          </w:p>
        </w:tc>
        <w:tc>
          <w:tcPr>
            <w:tcW w:w="1954" w:type="pct"/>
            <w:gridSpan w:val="2"/>
            <w:tcBorders>
              <w:top w:val="single" w:sz="4" w:space="0" w:color="auto"/>
              <w:left w:val="single" w:sz="4" w:space="0" w:color="auto"/>
              <w:bottom w:val="single" w:sz="4" w:space="0" w:color="auto"/>
              <w:right w:val="nil"/>
            </w:tcBorders>
          </w:tcPr>
          <w:p w14:paraId="37E5ABB5" w14:textId="77777777" w:rsidR="00F96011" w:rsidRPr="00F96011" w:rsidRDefault="00F96011" w:rsidP="008A6B56">
            <w:pPr>
              <w:spacing w:line="240" w:lineRule="auto"/>
              <w:jc w:val="right"/>
              <w:rPr>
                <w:i/>
                <w:iCs/>
                <w:sz w:val="20"/>
                <w:szCs w:val="20"/>
              </w:rPr>
            </w:pPr>
            <w:r w:rsidRPr="00F96011">
              <w:rPr>
                <w:i/>
                <w:iCs/>
                <w:sz w:val="20"/>
                <w:szCs w:val="20"/>
              </w:rPr>
              <w:t>Taux de production moyen par type de technique de carbonisation par District</w:t>
            </w:r>
          </w:p>
          <w:p w14:paraId="00F91454" w14:textId="77777777" w:rsidR="00F96011" w:rsidRPr="00F96011" w:rsidRDefault="00F96011" w:rsidP="008A6B56">
            <w:pPr>
              <w:spacing w:line="240" w:lineRule="auto"/>
              <w:jc w:val="right"/>
              <w:rPr>
                <w:i/>
                <w:iCs/>
                <w:sz w:val="20"/>
                <w:szCs w:val="20"/>
              </w:rPr>
            </w:pPr>
          </w:p>
          <w:p w14:paraId="6E8D7842" w14:textId="77777777" w:rsidR="00F96011" w:rsidRPr="00F96011" w:rsidRDefault="00F96011" w:rsidP="008A6B56">
            <w:pPr>
              <w:spacing w:line="240" w:lineRule="auto"/>
              <w:jc w:val="right"/>
              <w:rPr>
                <w:i/>
                <w:iCs/>
                <w:sz w:val="20"/>
                <w:szCs w:val="20"/>
              </w:rPr>
            </w:pPr>
          </w:p>
          <w:p w14:paraId="444B8073" w14:textId="77777777" w:rsidR="00F96011" w:rsidRPr="00F96011" w:rsidRDefault="00F96011" w:rsidP="008A6B56">
            <w:pPr>
              <w:spacing w:line="240" w:lineRule="auto"/>
              <w:jc w:val="right"/>
              <w:rPr>
                <w:i/>
                <w:iCs/>
                <w:sz w:val="20"/>
                <w:szCs w:val="20"/>
              </w:rPr>
            </w:pPr>
          </w:p>
          <w:p w14:paraId="1F8BA68D" w14:textId="77777777" w:rsidR="00F96011" w:rsidRPr="00F96011" w:rsidRDefault="00F96011" w:rsidP="008A6B56">
            <w:pPr>
              <w:spacing w:line="240" w:lineRule="auto"/>
              <w:jc w:val="right"/>
              <w:rPr>
                <w:i/>
                <w:iCs/>
                <w:sz w:val="20"/>
                <w:szCs w:val="20"/>
              </w:rPr>
            </w:pPr>
          </w:p>
          <w:p w14:paraId="4B8142D8" w14:textId="77777777" w:rsidR="00F96011" w:rsidRPr="00F96011" w:rsidRDefault="00F96011" w:rsidP="008A6B56">
            <w:pPr>
              <w:spacing w:line="240" w:lineRule="auto"/>
              <w:jc w:val="right"/>
              <w:rPr>
                <w:i/>
                <w:iCs/>
                <w:sz w:val="20"/>
                <w:szCs w:val="20"/>
              </w:rPr>
            </w:pPr>
            <w:r w:rsidRPr="00F96011">
              <w:rPr>
                <w:i/>
                <w:iCs/>
                <w:sz w:val="20"/>
                <w:szCs w:val="20"/>
              </w:rPr>
              <w:t>Taux de production moyen par type de technique de carbonisation par Région</w:t>
            </w:r>
          </w:p>
          <w:p w14:paraId="38EE2738" w14:textId="77777777" w:rsidR="00F96011" w:rsidRPr="00F96011" w:rsidRDefault="00F96011" w:rsidP="008A6B56">
            <w:pPr>
              <w:spacing w:line="240" w:lineRule="auto"/>
              <w:jc w:val="right"/>
              <w:rPr>
                <w:i/>
                <w:iCs/>
                <w:sz w:val="20"/>
                <w:szCs w:val="20"/>
              </w:rPr>
            </w:pPr>
          </w:p>
          <w:p w14:paraId="23636583" w14:textId="77777777" w:rsidR="00F96011" w:rsidRPr="00F96011" w:rsidRDefault="00F96011" w:rsidP="008A6B56">
            <w:pPr>
              <w:spacing w:line="240" w:lineRule="auto"/>
              <w:jc w:val="right"/>
              <w:rPr>
                <w:i/>
                <w:iCs/>
                <w:sz w:val="20"/>
                <w:szCs w:val="20"/>
              </w:rPr>
            </w:pPr>
          </w:p>
          <w:p w14:paraId="373A2815" w14:textId="77777777" w:rsidR="00F96011" w:rsidRPr="00F96011" w:rsidRDefault="00F96011" w:rsidP="008A6B56">
            <w:pPr>
              <w:spacing w:line="240" w:lineRule="auto"/>
              <w:jc w:val="right"/>
              <w:rPr>
                <w:i/>
                <w:iCs/>
                <w:sz w:val="20"/>
                <w:szCs w:val="20"/>
              </w:rPr>
            </w:pPr>
          </w:p>
          <w:p w14:paraId="4D209122" w14:textId="77777777" w:rsidR="00F96011" w:rsidRPr="00F96011" w:rsidRDefault="00F96011" w:rsidP="008A6B56">
            <w:pPr>
              <w:spacing w:line="240" w:lineRule="auto"/>
              <w:jc w:val="right"/>
              <w:rPr>
                <w:i/>
                <w:iCs/>
                <w:sz w:val="20"/>
                <w:szCs w:val="20"/>
              </w:rPr>
            </w:pPr>
            <w:r w:rsidRPr="00F96011">
              <w:rPr>
                <w:i/>
                <w:iCs/>
                <w:sz w:val="20"/>
                <w:szCs w:val="20"/>
              </w:rPr>
              <w:t>Taux de production moyen par type de technique de carbonisation au niveau national</w:t>
            </w:r>
          </w:p>
        </w:tc>
        <w:tc>
          <w:tcPr>
            <w:tcW w:w="2032" w:type="pct"/>
            <w:tcBorders>
              <w:top w:val="single" w:sz="4" w:space="0" w:color="auto"/>
              <w:left w:val="nil"/>
              <w:bottom w:val="single" w:sz="4" w:space="0" w:color="auto"/>
              <w:right w:val="single" w:sz="4" w:space="0" w:color="auto"/>
            </w:tcBorders>
          </w:tcPr>
          <w:p w14:paraId="756CA794" w14:textId="77777777" w:rsidR="00F96011" w:rsidRPr="00F96011" w:rsidRDefault="00F96011" w:rsidP="008A6B56">
            <w:pPr>
              <w:spacing w:line="240" w:lineRule="auto"/>
              <w:rPr>
                <w:i/>
                <w:iCs/>
                <w:sz w:val="20"/>
                <w:szCs w:val="20"/>
              </w:rPr>
            </w:pPr>
            <w:r w:rsidRPr="00F96011">
              <w:rPr>
                <w:i/>
                <w:iCs/>
                <w:sz w:val="20"/>
                <w:szCs w:val="20"/>
              </w:rPr>
              <w:t>= Somme des quantités produites par type de technique de carbonisation * 100 / production totale de toutes les techniques de carbonisation dans le District chaque année</w:t>
            </w:r>
          </w:p>
          <w:p w14:paraId="6465DDFC" w14:textId="77777777" w:rsidR="00F96011" w:rsidRPr="00F96011" w:rsidRDefault="00F96011" w:rsidP="008A6B56">
            <w:pPr>
              <w:spacing w:line="240" w:lineRule="auto"/>
              <w:rPr>
                <w:i/>
                <w:iCs/>
                <w:sz w:val="20"/>
                <w:szCs w:val="20"/>
              </w:rPr>
            </w:pPr>
            <w:r w:rsidRPr="00F96011">
              <w:rPr>
                <w:i/>
                <w:iCs/>
                <w:sz w:val="20"/>
                <w:szCs w:val="20"/>
              </w:rPr>
              <w:t xml:space="preserve"> </w:t>
            </w:r>
          </w:p>
          <w:p w14:paraId="33020B40" w14:textId="77777777" w:rsidR="00F96011" w:rsidRPr="00F96011" w:rsidRDefault="00F96011" w:rsidP="008A6B56">
            <w:pPr>
              <w:spacing w:line="240" w:lineRule="auto"/>
              <w:rPr>
                <w:i/>
                <w:iCs/>
                <w:sz w:val="20"/>
                <w:szCs w:val="20"/>
              </w:rPr>
            </w:pPr>
            <w:r w:rsidRPr="00F96011">
              <w:rPr>
                <w:i/>
                <w:iCs/>
                <w:sz w:val="20"/>
                <w:szCs w:val="20"/>
              </w:rPr>
              <w:t>= somme des taux de production moyen par type de technique de carbonisation dans la Région / nombre de District dans la Région</w:t>
            </w:r>
          </w:p>
          <w:p w14:paraId="70767601" w14:textId="77777777" w:rsidR="00F96011" w:rsidRPr="00F96011" w:rsidRDefault="00F96011" w:rsidP="008A6B56">
            <w:pPr>
              <w:spacing w:line="240" w:lineRule="auto"/>
              <w:rPr>
                <w:i/>
                <w:iCs/>
                <w:sz w:val="20"/>
                <w:szCs w:val="20"/>
              </w:rPr>
            </w:pPr>
          </w:p>
          <w:p w14:paraId="0B9A09D0" w14:textId="77777777" w:rsidR="00F96011" w:rsidRPr="00F96011" w:rsidRDefault="00F96011" w:rsidP="008A6B56">
            <w:pPr>
              <w:spacing w:line="240" w:lineRule="auto"/>
              <w:rPr>
                <w:i/>
                <w:iCs/>
                <w:sz w:val="20"/>
                <w:szCs w:val="20"/>
              </w:rPr>
            </w:pPr>
            <w:r w:rsidRPr="00F96011">
              <w:rPr>
                <w:i/>
                <w:iCs/>
                <w:sz w:val="20"/>
                <w:szCs w:val="20"/>
              </w:rPr>
              <w:t>= Somme des taux de production moyen par type de technique de carbonisation par District / nombre de District</w:t>
            </w:r>
          </w:p>
        </w:tc>
      </w:tr>
      <w:tr w:rsidR="00F96011" w:rsidRPr="00F96011" w14:paraId="56CF941C"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B9403F1"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867F284" w14:textId="77777777" w:rsidR="00F96011" w:rsidRPr="00F96011" w:rsidRDefault="00F96011" w:rsidP="008A6B56">
            <w:pPr>
              <w:spacing w:line="240" w:lineRule="auto"/>
            </w:pPr>
            <w:r w:rsidRPr="00F96011">
              <w:t>Nombre, Liste</w:t>
            </w:r>
          </w:p>
        </w:tc>
      </w:tr>
      <w:tr w:rsidR="00F96011" w:rsidRPr="00F96011" w14:paraId="57D9551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471CE0F"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CFB1820" w14:textId="77777777" w:rsidR="00F96011" w:rsidRPr="00F96011" w:rsidRDefault="00F96011" w:rsidP="008A6B56">
            <w:pPr>
              <w:spacing w:line="240" w:lineRule="auto"/>
            </w:pPr>
            <w:r w:rsidRPr="00F96011">
              <w:t>Chaque année</w:t>
            </w:r>
          </w:p>
        </w:tc>
      </w:tr>
      <w:tr w:rsidR="00F96011" w:rsidRPr="00F96011" w14:paraId="0A22F038"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7A17E63"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197A768E"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cette même année.</w:t>
            </w:r>
          </w:p>
        </w:tc>
      </w:tr>
      <w:tr w:rsidR="00F96011" w:rsidRPr="00F96011" w14:paraId="65BCC7B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9664485"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635F9AA6" w14:textId="77777777" w:rsidR="00F96011" w:rsidRPr="00F96011" w:rsidRDefault="00F96011" w:rsidP="008A6B56">
            <w:pPr>
              <w:spacing w:line="240" w:lineRule="auto"/>
            </w:pPr>
            <w:r w:rsidRPr="00F96011">
              <w:t>Bonne</w:t>
            </w:r>
          </w:p>
        </w:tc>
      </w:tr>
    </w:tbl>
    <w:p w14:paraId="7D7C17D5"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4672"/>
      </w:tblGrid>
      <w:tr w:rsidR="00F96011" w:rsidRPr="00F96011" w14:paraId="2BC149B2" w14:textId="77777777" w:rsidTr="00F96011">
        <w:trPr>
          <w:gridAfter w:val="2"/>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7459954B" w14:textId="77777777" w:rsidR="00F96011" w:rsidRPr="00A92FDE" w:rsidRDefault="00F96011" w:rsidP="008A6B56">
            <w:pPr>
              <w:spacing w:line="240" w:lineRule="auto"/>
              <w:rPr>
                <w:b/>
                <w:bCs/>
              </w:rPr>
            </w:pPr>
            <w:r w:rsidRPr="00A92FDE">
              <w:rPr>
                <w:b/>
                <w:bCs/>
              </w:rPr>
              <w:lastRenderedPageBreak/>
              <w:t>Fiche N° 09</w:t>
            </w:r>
          </w:p>
        </w:tc>
      </w:tr>
      <w:tr w:rsidR="00F96011" w:rsidRPr="00F96011" w14:paraId="4A80F776"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3134F76C" w14:textId="3D1222C5" w:rsidR="00F96011" w:rsidRPr="00F96011" w:rsidRDefault="00F96011" w:rsidP="008A6B56">
            <w:pPr>
              <w:spacing w:line="240" w:lineRule="auto"/>
              <w:rPr>
                <w:b/>
                <w:bCs/>
              </w:rPr>
            </w:pPr>
            <w:r w:rsidRPr="00F96011">
              <w:t xml:space="preserve">Transport et commercialisation de </w:t>
            </w:r>
            <w:r w:rsidR="00C76BB3">
              <w:t>bois énergie</w:t>
            </w:r>
          </w:p>
        </w:tc>
        <w:tc>
          <w:tcPr>
            <w:tcW w:w="2578" w:type="pct"/>
            <w:tcBorders>
              <w:top w:val="single" w:sz="4" w:space="0" w:color="auto"/>
              <w:left w:val="single" w:sz="4" w:space="0" w:color="auto"/>
              <w:bottom w:val="single" w:sz="4" w:space="0" w:color="auto"/>
              <w:right w:val="single" w:sz="4" w:space="0" w:color="auto"/>
            </w:tcBorders>
            <w:shd w:val="clear" w:color="auto" w:fill="E2EFD9"/>
            <w:hideMark/>
          </w:tcPr>
          <w:p w14:paraId="5804C831" w14:textId="77777777" w:rsidR="00F96011" w:rsidRPr="00F96011" w:rsidRDefault="00F96011" w:rsidP="008A6B56">
            <w:pPr>
              <w:pStyle w:val="Titre2"/>
              <w:spacing w:line="240" w:lineRule="auto"/>
              <w:outlineLvl w:val="1"/>
            </w:pPr>
            <w:bookmarkStart w:id="17" w:name="_Toc75162457"/>
            <w:r w:rsidRPr="00F96011">
              <w:t>Nombre des opérateurs formels en bois énergie</w:t>
            </w:r>
            <w:bookmarkEnd w:id="17"/>
            <w:r w:rsidRPr="00F96011">
              <w:t xml:space="preserve"> </w:t>
            </w:r>
          </w:p>
        </w:tc>
      </w:tr>
      <w:tr w:rsidR="00F96011" w:rsidRPr="00F96011" w14:paraId="278A4C8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0A246C7" w14:textId="77777777" w:rsidR="00F96011" w:rsidRPr="00F96011" w:rsidRDefault="00F96011" w:rsidP="008A6B56">
            <w:pPr>
              <w:spacing w:line="240" w:lineRule="auto"/>
              <w:rPr>
                <w:b/>
                <w:bCs/>
              </w:rPr>
            </w:pPr>
            <w:r w:rsidRPr="00F96011">
              <w:rPr>
                <w:b/>
                <w:bCs/>
              </w:rPr>
              <w:t>Description</w:t>
            </w:r>
          </w:p>
        </w:tc>
        <w:tc>
          <w:tcPr>
            <w:tcW w:w="3986" w:type="pct"/>
            <w:gridSpan w:val="2"/>
            <w:tcBorders>
              <w:top w:val="single" w:sz="4" w:space="0" w:color="auto"/>
              <w:left w:val="single" w:sz="4" w:space="0" w:color="auto"/>
              <w:bottom w:val="single" w:sz="4" w:space="0" w:color="auto"/>
              <w:right w:val="single" w:sz="4" w:space="0" w:color="auto"/>
            </w:tcBorders>
            <w:hideMark/>
          </w:tcPr>
          <w:p w14:paraId="7C82231F" w14:textId="173165EE" w:rsidR="00F96011" w:rsidRPr="00F96011" w:rsidRDefault="00F96011" w:rsidP="008A6B56">
            <w:pPr>
              <w:spacing w:line="240" w:lineRule="auto"/>
              <w:jc w:val="both"/>
            </w:pPr>
            <w:r w:rsidRPr="00F96011">
              <w:t xml:space="preserve">La filière bois énergie connaît plusieurs catégories d’acteurs </w:t>
            </w:r>
            <w:r w:rsidR="00730454">
              <w:t xml:space="preserve">en bois énergie </w:t>
            </w:r>
            <w:r w:rsidRPr="00F96011">
              <w:t>(producteur</w:t>
            </w:r>
            <w:r w:rsidR="00832DE3">
              <w:t xml:space="preserve"> de plants</w:t>
            </w:r>
            <w:r w:rsidR="00832DE3" w:rsidRPr="00F96011">
              <w:t>, producteur</w:t>
            </w:r>
            <w:r w:rsidR="00832DE3">
              <w:t xml:space="preserve"> de bois de chauffe</w:t>
            </w:r>
            <w:r w:rsidRPr="00F96011">
              <w:t>,</w:t>
            </w:r>
            <w:r w:rsidR="00832DE3" w:rsidRPr="00F96011">
              <w:t xml:space="preserve"> producteur</w:t>
            </w:r>
            <w:r w:rsidR="00832DE3">
              <w:t xml:space="preserve"> de charbon de bois</w:t>
            </w:r>
            <w:r w:rsidR="00832DE3" w:rsidRPr="00F96011">
              <w:t>,</w:t>
            </w:r>
            <w:r w:rsidRPr="00F96011">
              <w:t xml:space="preserve"> collecteur, vendeur).</w:t>
            </w:r>
            <w:r w:rsidR="00450B96">
              <w:t xml:space="preserve"> </w:t>
            </w:r>
            <w:r w:rsidRPr="00F96011">
              <w:t>Dans le cadre de la réglementation, l’administration forestière joue un rôle important pour la délivrance de diverses autorisations, aux contrôles de production et aux suivis des activités.</w:t>
            </w:r>
            <w:r w:rsidRPr="00F96011">
              <w:rPr>
                <w:rFonts w:ascii="Georgia" w:hAnsi="Georgia" w:cs="Georgia"/>
                <w:sz w:val="18"/>
                <w:szCs w:val="18"/>
              </w:rPr>
              <w:t xml:space="preserve"> </w:t>
            </w:r>
            <w:r w:rsidRPr="00F96011">
              <w:t>La connaissance du nombre des différents acteurs est importante pour la conduite et organisation de la filière.</w:t>
            </w:r>
            <w:r w:rsidRPr="00F96011">
              <w:rPr>
                <w:rFonts w:ascii="Georgia" w:hAnsi="Georgia" w:cs="Georgia"/>
                <w:sz w:val="18"/>
                <w:szCs w:val="18"/>
              </w:rPr>
              <w:t xml:space="preserve"> </w:t>
            </w:r>
          </w:p>
        </w:tc>
      </w:tr>
      <w:tr w:rsidR="00F96011" w:rsidRPr="00F96011" w14:paraId="1C411AA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FA5CE98" w14:textId="77777777" w:rsidR="00F96011" w:rsidRPr="00F96011" w:rsidRDefault="00F96011" w:rsidP="008A6B56">
            <w:pPr>
              <w:spacing w:line="240" w:lineRule="auto"/>
              <w:rPr>
                <w:b/>
                <w:bCs/>
              </w:rPr>
            </w:pPr>
            <w:r w:rsidRPr="00F96011">
              <w:rPr>
                <w:b/>
                <w:bCs/>
              </w:rPr>
              <w:t>Indicateurs associés</w:t>
            </w:r>
          </w:p>
        </w:tc>
        <w:tc>
          <w:tcPr>
            <w:tcW w:w="3986" w:type="pct"/>
            <w:gridSpan w:val="2"/>
            <w:tcBorders>
              <w:top w:val="single" w:sz="4" w:space="0" w:color="auto"/>
              <w:left w:val="single" w:sz="4" w:space="0" w:color="auto"/>
              <w:bottom w:val="single" w:sz="4" w:space="0" w:color="auto"/>
              <w:right w:val="single" w:sz="4" w:space="0" w:color="auto"/>
            </w:tcBorders>
          </w:tcPr>
          <w:p w14:paraId="16F3A657" w14:textId="77777777" w:rsidR="00F96011" w:rsidRPr="00F96011" w:rsidRDefault="00F96011" w:rsidP="008A6B56">
            <w:pPr>
              <w:spacing w:line="240" w:lineRule="auto"/>
            </w:pPr>
          </w:p>
        </w:tc>
      </w:tr>
      <w:tr w:rsidR="00F96011" w:rsidRPr="00F96011" w14:paraId="006B053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8A8DB68" w14:textId="77777777" w:rsidR="00F96011" w:rsidRPr="00F96011" w:rsidRDefault="00F96011" w:rsidP="008A6B56">
            <w:pPr>
              <w:spacing w:line="240" w:lineRule="auto"/>
              <w:rPr>
                <w:b/>
                <w:bCs/>
              </w:rPr>
            </w:pPr>
            <w:r w:rsidRPr="00F96011">
              <w:rPr>
                <w:b/>
                <w:bCs/>
              </w:rPr>
              <w:t>Fiche de collecte correspondante</w:t>
            </w:r>
          </w:p>
        </w:tc>
        <w:tc>
          <w:tcPr>
            <w:tcW w:w="3986" w:type="pct"/>
            <w:gridSpan w:val="2"/>
            <w:tcBorders>
              <w:top w:val="single" w:sz="4" w:space="0" w:color="auto"/>
              <w:left w:val="single" w:sz="4" w:space="0" w:color="auto"/>
              <w:bottom w:val="single" w:sz="4" w:space="0" w:color="auto"/>
              <w:right w:val="single" w:sz="4" w:space="0" w:color="auto"/>
            </w:tcBorders>
            <w:hideMark/>
          </w:tcPr>
          <w:p w14:paraId="50F5CA9F" w14:textId="77777777" w:rsidR="00F96011" w:rsidRPr="00F96011" w:rsidRDefault="00F96011" w:rsidP="008A6B56">
            <w:pPr>
              <w:spacing w:line="240" w:lineRule="auto"/>
              <w:rPr>
                <w:i/>
                <w:iCs/>
              </w:rPr>
            </w:pPr>
            <w:r w:rsidRPr="00F96011">
              <w:rPr>
                <w:i/>
                <w:iCs/>
              </w:rPr>
              <w:t>Fiche de collecte de données secondaires</w:t>
            </w:r>
          </w:p>
        </w:tc>
      </w:tr>
      <w:tr w:rsidR="00F96011" w:rsidRPr="00F96011" w14:paraId="336FDB1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4B2CA98"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2"/>
            <w:tcBorders>
              <w:top w:val="single" w:sz="4" w:space="0" w:color="auto"/>
              <w:left w:val="single" w:sz="4" w:space="0" w:color="auto"/>
              <w:bottom w:val="single" w:sz="4" w:space="0" w:color="auto"/>
              <w:right w:val="single" w:sz="4" w:space="0" w:color="auto"/>
            </w:tcBorders>
            <w:hideMark/>
          </w:tcPr>
          <w:p w14:paraId="7A12FFFC" w14:textId="77777777" w:rsidR="00F96011" w:rsidRPr="00F96011" w:rsidRDefault="00F96011" w:rsidP="008A6B56">
            <w:pPr>
              <w:spacing w:line="240" w:lineRule="auto"/>
            </w:pPr>
            <w:r w:rsidRPr="00F96011">
              <w:t>- Nombre des producteurs de plants recensés</w:t>
            </w:r>
          </w:p>
          <w:p w14:paraId="45F358ED" w14:textId="77777777" w:rsidR="00F96011" w:rsidRPr="00F96011" w:rsidRDefault="00F96011" w:rsidP="008A6B56">
            <w:pPr>
              <w:spacing w:line="240" w:lineRule="auto"/>
            </w:pPr>
            <w:r w:rsidRPr="00F96011">
              <w:t>- Nombre des producteurs de produits bois de chauffe recensés</w:t>
            </w:r>
          </w:p>
          <w:p w14:paraId="23A74D66" w14:textId="77777777" w:rsidR="00F96011" w:rsidRPr="00F96011" w:rsidRDefault="00F96011" w:rsidP="008A6B56">
            <w:pPr>
              <w:spacing w:line="240" w:lineRule="auto"/>
            </w:pPr>
            <w:r w:rsidRPr="00F96011">
              <w:t>- Nombre des producteurs de charbon de bois recensés</w:t>
            </w:r>
          </w:p>
          <w:p w14:paraId="6450F89A" w14:textId="77777777" w:rsidR="00F96011" w:rsidRPr="00F96011" w:rsidRDefault="00F96011" w:rsidP="008A6B56">
            <w:pPr>
              <w:spacing w:line="240" w:lineRule="auto"/>
            </w:pPr>
            <w:r w:rsidRPr="00F96011">
              <w:t>- Nombre des collecteurs de produits bois énergie recensés</w:t>
            </w:r>
          </w:p>
          <w:p w14:paraId="115E0EC7" w14:textId="77777777" w:rsidR="00F96011" w:rsidRPr="00F96011" w:rsidRDefault="00F96011" w:rsidP="008A6B56">
            <w:pPr>
              <w:spacing w:line="240" w:lineRule="auto"/>
            </w:pPr>
            <w:r w:rsidRPr="00F96011">
              <w:t>- Nombre des transporteurs de produits bois énergie recensés</w:t>
            </w:r>
          </w:p>
          <w:p w14:paraId="6069B22C" w14:textId="77777777" w:rsidR="00F96011" w:rsidRPr="00F96011" w:rsidRDefault="00F96011" w:rsidP="008A6B56">
            <w:pPr>
              <w:spacing w:line="240" w:lineRule="auto"/>
            </w:pPr>
            <w:r w:rsidRPr="00F96011">
              <w:t xml:space="preserve">- Nombre des vendeurs de produits bois énergie recensés </w:t>
            </w:r>
          </w:p>
          <w:p w14:paraId="51E51F92" w14:textId="77777777" w:rsidR="00F96011" w:rsidRPr="00F96011" w:rsidRDefault="00F96011" w:rsidP="008A6B56">
            <w:pPr>
              <w:spacing w:line="240" w:lineRule="auto"/>
            </w:pPr>
            <w:r w:rsidRPr="00F96011">
              <w:t>- Liste de centres de collecte de bois énergie formels</w:t>
            </w:r>
          </w:p>
          <w:p w14:paraId="5DF8F8DB" w14:textId="77777777" w:rsidR="00F96011" w:rsidRPr="00F96011" w:rsidRDefault="00F96011" w:rsidP="008A6B56">
            <w:pPr>
              <w:spacing w:line="240" w:lineRule="auto"/>
            </w:pPr>
            <w:r w:rsidRPr="00F96011">
              <w:t>- Liste de réseaux de distribution de produits bois énergie formels</w:t>
            </w:r>
          </w:p>
        </w:tc>
      </w:tr>
      <w:tr w:rsidR="00F96011" w:rsidRPr="00F96011" w14:paraId="0F48BCA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53448DC" w14:textId="77777777" w:rsidR="00F96011" w:rsidRPr="00F96011" w:rsidRDefault="00F96011" w:rsidP="008A6B56">
            <w:pPr>
              <w:spacing w:line="240" w:lineRule="auto"/>
              <w:rPr>
                <w:b/>
                <w:bCs/>
              </w:rPr>
            </w:pPr>
            <w:r w:rsidRPr="00F96011">
              <w:rPr>
                <w:b/>
                <w:bCs/>
              </w:rPr>
              <w:t>Méthode de collecte</w:t>
            </w:r>
          </w:p>
        </w:tc>
        <w:tc>
          <w:tcPr>
            <w:tcW w:w="3986" w:type="pct"/>
            <w:gridSpan w:val="2"/>
            <w:tcBorders>
              <w:top w:val="single" w:sz="4" w:space="0" w:color="auto"/>
              <w:left w:val="single" w:sz="4" w:space="0" w:color="auto"/>
              <w:bottom w:val="single" w:sz="4" w:space="0" w:color="auto"/>
              <w:right w:val="single" w:sz="4" w:space="0" w:color="auto"/>
            </w:tcBorders>
            <w:hideMark/>
          </w:tcPr>
          <w:p w14:paraId="21DBFB69" w14:textId="77777777" w:rsidR="00F96011" w:rsidRPr="00F96011" w:rsidRDefault="00F96011" w:rsidP="008A6B56">
            <w:pPr>
              <w:spacing w:line="240" w:lineRule="auto"/>
              <w:jc w:val="both"/>
            </w:pPr>
            <w:r w:rsidRPr="00F96011">
              <w:t xml:space="preserve">Enquêtes auprès de l’administration forestière qui dans la logique détient toutes les informations concernant la filière bois énergie. </w:t>
            </w:r>
          </w:p>
        </w:tc>
      </w:tr>
      <w:tr w:rsidR="00F96011" w:rsidRPr="00F96011" w14:paraId="3A1B2E2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47AB792" w14:textId="77777777" w:rsidR="00F96011" w:rsidRPr="00F96011" w:rsidRDefault="00F96011" w:rsidP="008A6B56">
            <w:pPr>
              <w:spacing w:line="240" w:lineRule="auto"/>
              <w:rPr>
                <w:b/>
                <w:bCs/>
              </w:rPr>
            </w:pPr>
            <w:r w:rsidRPr="00F96011">
              <w:rPr>
                <w:b/>
                <w:bCs/>
              </w:rPr>
              <w:t xml:space="preserve">Méthode de calcul </w:t>
            </w:r>
          </w:p>
        </w:tc>
        <w:tc>
          <w:tcPr>
            <w:tcW w:w="3986" w:type="pct"/>
            <w:gridSpan w:val="2"/>
            <w:tcBorders>
              <w:top w:val="single" w:sz="4" w:space="0" w:color="auto"/>
              <w:left w:val="single" w:sz="4" w:space="0" w:color="auto"/>
              <w:bottom w:val="single" w:sz="4" w:space="0" w:color="auto"/>
              <w:right w:val="single" w:sz="4" w:space="0" w:color="auto"/>
            </w:tcBorders>
          </w:tcPr>
          <w:p w14:paraId="22E158DF" w14:textId="531FD744" w:rsidR="00F96011" w:rsidRPr="00F96011" w:rsidRDefault="00730454" w:rsidP="008A6B56">
            <w:pPr>
              <w:spacing w:line="240" w:lineRule="auto"/>
            </w:pPr>
            <w:r>
              <w:t xml:space="preserve">Nombre pour chaque acteur </w:t>
            </w:r>
            <w:r w:rsidRPr="00730454">
              <w:t>en bois énergie</w:t>
            </w:r>
          </w:p>
        </w:tc>
      </w:tr>
      <w:tr w:rsidR="00F96011" w:rsidRPr="00F96011" w14:paraId="1980541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FC6E237" w14:textId="77777777" w:rsidR="00F96011" w:rsidRPr="00F96011" w:rsidRDefault="00F96011" w:rsidP="008A6B56">
            <w:pPr>
              <w:spacing w:line="240" w:lineRule="auto"/>
              <w:rPr>
                <w:b/>
                <w:bCs/>
              </w:rPr>
            </w:pPr>
            <w:r w:rsidRPr="00F96011">
              <w:rPr>
                <w:b/>
                <w:bCs/>
              </w:rPr>
              <w:t>Unité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4BE13378" w14:textId="77777777" w:rsidR="00F96011" w:rsidRPr="00F96011" w:rsidRDefault="00F96011" w:rsidP="008A6B56">
            <w:pPr>
              <w:spacing w:line="240" w:lineRule="auto"/>
            </w:pPr>
            <w:r w:rsidRPr="00F96011">
              <w:t>Nombre, Liste</w:t>
            </w:r>
          </w:p>
        </w:tc>
      </w:tr>
      <w:tr w:rsidR="00F96011" w:rsidRPr="00F96011" w14:paraId="134BFB6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B27CE59" w14:textId="77777777" w:rsidR="00F96011" w:rsidRPr="00F96011" w:rsidRDefault="00F96011" w:rsidP="008A6B56">
            <w:pPr>
              <w:spacing w:line="240" w:lineRule="auto"/>
              <w:rPr>
                <w:b/>
                <w:bCs/>
              </w:rPr>
            </w:pPr>
            <w:r w:rsidRPr="00F96011">
              <w:rPr>
                <w:b/>
                <w:bCs/>
              </w:rPr>
              <w:t>Périodicité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71242929" w14:textId="77777777" w:rsidR="00F96011" w:rsidRPr="00F96011" w:rsidRDefault="00F96011" w:rsidP="008A6B56">
            <w:pPr>
              <w:spacing w:line="240" w:lineRule="auto"/>
            </w:pPr>
            <w:r w:rsidRPr="00F96011">
              <w:t>Chaque année</w:t>
            </w:r>
          </w:p>
        </w:tc>
      </w:tr>
      <w:tr w:rsidR="00F96011" w:rsidRPr="00F96011" w14:paraId="0500F83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4F8CC2D" w14:textId="77777777" w:rsidR="00F96011" w:rsidRPr="00F96011" w:rsidRDefault="00F96011" w:rsidP="008A6B56">
            <w:pPr>
              <w:spacing w:line="240" w:lineRule="auto"/>
              <w:rPr>
                <w:b/>
                <w:bCs/>
              </w:rPr>
            </w:pPr>
            <w:r w:rsidRPr="00F96011">
              <w:rPr>
                <w:b/>
                <w:bCs/>
              </w:rPr>
              <w:t>Rapportage</w:t>
            </w:r>
          </w:p>
        </w:tc>
        <w:tc>
          <w:tcPr>
            <w:tcW w:w="3986" w:type="pct"/>
            <w:gridSpan w:val="2"/>
            <w:tcBorders>
              <w:top w:val="single" w:sz="4" w:space="0" w:color="auto"/>
              <w:left w:val="single" w:sz="4" w:space="0" w:color="auto"/>
              <w:bottom w:val="single" w:sz="4" w:space="0" w:color="auto"/>
              <w:right w:val="single" w:sz="4" w:space="0" w:color="auto"/>
            </w:tcBorders>
            <w:hideMark/>
          </w:tcPr>
          <w:p w14:paraId="37BDBCCE"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0DF4795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14007FE" w14:textId="77777777" w:rsidR="00F96011" w:rsidRPr="00F96011" w:rsidRDefault="00F96011" w:rsidP="008A6B56">
            <w:pPr>
              <w:spacing w:line="240" w:lineRule="auto"/>
              <w:rPr>
                <w:b/>
                <w:bCs/>
              </w:rPr>
            </w:pPr>
            <w:r w:rsidRPr="00F96011">
              <w:rPr>
                <w:b/>
                <w:bCs/>
              </w:rPr>
              <w:t>Fiabilité</w:t>
            </w:r>
          </w:p>
        </w:tc>
        <w:tc>
          <w:tcPr>
            <w:tcW w:w="3986" w:type="pct"/>
            <w:gridSpan w:val="2"/>
            <w:tcBorders>
              <w:top w:val="single" w:sz="4" w:space="0" w:color="auto"/>
              <w:left w:val="single" w:sz="4" w:space="0" w:color="auto"/>
              <w:bottom w:val="single" w:sz="4" w:space="0" w:color="auto"/>
              <w:right w:val="single" w:sz="4" w:space="0" w:color="auto"/>
            </w:tcBorders>
            <w:hideMark/>
          </w:tcPr>
          <w:p w14:paraId="607F47DB" w14:textId="77777777" w:rsidR="00F96011" w:rsidRPr="00F96011" w:rsidRDefault="00F96011" w:rsidP="008A6B56">
            <w:pPr>
              <w:spacing w:line="240" w:lineRule="auto"/>
            </w:pPr>
            <w:r w:rsidRPr="00F96011">
              <w:t>Bonne</w:t>
            </w:r>
          </w:p>
        </w:tc>
      </w:tr>
    </w:tbl>
    <w:p w14:paraId="3688AAF0" w14:textId="0331233C" w:rsidR="0013533D" w:rsidRDefault="0013533D" w:rsidP="008A6B56">
      <w:pPr>
        <w:spacing w:line="240" w:lineRule="auto"/>
        <w:rPr>
          <w:rFonts w:ascii="Calibri" w:eastAsia="Calibri" w:hAnsi="Calibri" w:cs="Times New Roman"/>
          <w:color w:val="FF0000"/>
        </w:rPr>
      </w:pPr>
    </w:p>
    <w:p w14:paraId="0F215B17"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447A696D"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34127E0C" w14:textId="77777777" w:rsidR="00F96011" w:rsidRPr="00A92FDE" w:rsidRDefault="00F96011" w:rsidP="008A6B56">
            <w:pPr>
              <w:spacing w:line="240" w:lineRule="auto"/>
              <w:rPr>
                <w:b/>
                <w:bCs/>
              </w:rPr>
            </w:pPr>
            <w:r w:rsidRPr="00A92FDE">
              <w:rPr>
                <w:b/>
                <w:bCs/>
              </w:rPr>
              <w:lastRenderedPageBreak/>
              <w:t>Fiche N° 10</w:t>
            </w:r>
          </w:p>
        </w:tc>
      </w:tr>
      <w:tr w:rsidR="00F96011" w:rsidRPr="00F96011" w14:paraId="691A9917"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272B56FC" w14:textId="200B2B31" w:rsidR="00F96011" w:rsidRPr="00F96011" w:rsidRDefault="00F96011" w:rsidP="008A6B56">
            <w:pPr>
              <w:spacing w:line="240" w:lineRule="auto"/>
              <w:rPr>
                <w:b/>
                <w:bCs/>
              </w:rPr>
            </w:pPr>
            <w:r w:rsidRPr="00F96011">
              <w:t xml:space="preserve">Transport et commercialisation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44B4D9F6" w14:textId="697EDEAA" w:rsidR="00F96011" w:rsidRPr="00F96011" w:rsidRDefault="00F96011" w:rsidP="008A6B56">
            <w:pPr>
              <w:pStyle w:val="Titre2"/>
              <w:spacing w:line="240" w:lineRule="auto"/>
              <w:outlineLvl w:val="1"/>
            </w:pPr>
            <w:bookmarkStart w:id="18" w:name="_Toc75162458"/>
            <w:r w:rsidRPr="00F96011">
              <w:t xml:space="preserve">Prix </w:t>
            </w:r>
            <w:r w:rsidR="00B32EA8">
              <w:t xml:space="preserve">moyen </w:t>
            </w:r>
            <w:r w:rsidRPr="00F96011">
              <w:t>d’achat des</w:t>
            </w:r>
            <w:r w:rsidR="00730454">
              <w:t xml:space="preserve"> différents types de</w:t>
            </w:r>
            <w:r w:rsidRPr="00F96011">
              <w:t xml:space="preserve"> produits </w:t>
            </w:r>
            <w:r w:rsidR="00C76BB3">
              <w:t>bois énergie</w:t>
            </w:r>
            <w:r w:rsidRPr="00F96011">
              <w:t xml:space="preserve"> </w:t>
            </w:r>
            <w:r w:rsidR="00730454">
              <w:t xml:space="preserve">selon les </w:t>
            </w:r>
            <w:r w:rsidR="00450B96">
              <w:t>opérateurs</w:t>
            </w:r>
            <w:bookmarkEnd w:id="18"/>
          </w:p>
        </w:tc>
      </w:tr>
      <w:tr w:rsidR="00F96011" w:rsidRPr="00F96011" w14:paraId="6430438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C7008AF"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3109E8AF" w14:textId="66F236E5" w:rsidR="00F96011" w:rsidRPr="00F96011" w:rsidRDefault="00F96011" w:rsidP="008A6B56">
            <w:pPr>
              <w:spacing w:line="240" w:lineRule="auto"/>
              <w:jc w:val="both"/>
            </w:pPr>
            <w:r w:rsidRPr="00F96011">
              <w:t xml:space="preserve">La filière bois énergie contribue à l’économie local et régional. Le prix est sans doute un facteur d’accessibilité aux </w:t>
            </w:r>
            <w:r w:rsidR="00730454">
              <w:t xml:space="preserve">différents types de </w:t>
            </w:r>
            <w:r w:rsidRPr="00F96011">
              <w:t>produits bois énergie. Cet indicateur montre</w:t>
            </w:r>
            <w:r w:rsidRPr="00F96011">
              <w:rPr>
                <w:rFonts w:ascii="Georgia" w:hAnsi="Georgia" w:cs="Georgia"/>
                <w:sz w:val="18"/>
                <w:szCs w:val="18"/>
              </w:rPr>
              <w:t xml:space="preserve"> </w:t>
            </w:r>
            <w:r w:rsidRPr="00F96011">
              <w:t>le prix de l’acquisition des produits de la filière bois énergie à plusieurs niveaux d’acteurs. La variation des prix unitaires des produits pourrait constituer diverses interprétations par la suite.</w:t>
            </w:r>
            <w:r w:rsidRPr="00F96011">
              <w:rPr>
                <w:rFonts w:ascii="Georgia" w:hAnsi="Georgia" w:cs="Georgia"/>
                <w:sz w:val="18"/>
                <w:szCs w:val="18"/>
              </w:rPr>
              <w:t xml:space="preserve"> </w:t>
            </w:r>
          </w:p>
        </w:tc>
      </w:tr>
      <w:tr w:rsidR="00F96011" w:rsidRPr="00F96011" w14:paraId="46CFE3F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A9ACC70"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0FA1A1FB" w14:textId="77777777" w:rsidR="00F96011" w:rsidRPr="00F96011" w:rsidRDefault="00F96011" w:rsidP="008A6B56">
            <w:pPr>
              <w:spacing w:line="240" w:lineRule="auto"/>
            </w:pPr>
          </w:p>
        </w:tc>
      </w:tr>
      <w:tr w:rsidR="00F96011" w:rsidRPr="00F96011" w14:paraId="5608A45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06A3787"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75E10EFB" w14:textId="77777777" w:rsidR="00F96011" w:rsidRPr="00F96011" w:rsidRDefault="00F96011" w:rsidP="008A6B56">
            <w:pPr>
              <w:spacing w:line="240" w:lineRule="auto"/>
              <w:rPr>
                <w:i/>
                <w:iCs/>
              </w:rPr>
            </w:pPr>
            <w:r w:rsidRPr="00F96011">
              <w:rPr>
                <w:i/>
                <w:iCs/>
              </w:rPr>
              <w:t>Fiche de collecte de données secondaires</w:t>
            </w:r>
          </w:p>
        </w:tc>
      </w:tr>
      <w:tr w:rsidR="00F96011" w:rsidRPr="00F96011" w14:paraId="3719E18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494E8C8"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7FB31852" w14:textId="77777777" w:rsidR="00F96011" w:rsidRPr="00F96011" w:rsidRDefault="00F96011" w:rsidP="008A6B56">
            <w:pPr>
              <w:spacing w:line="240" w:lineRule="auto"/>
            </w:pPr>
            <w:r w:rsidRPr="00F96011">
              <w:t>- Prix d’achat /kg de charbon de bois par les collecteurs</w:t>
            </w:r>
          </w:p>
          <w:p w14:paraId="14B8EF90" w14:textId="77777777" w:rsidR="00F96011" w:rsidRPr="00F96011" w:rsidRDefault="00F96011" w:rsidP="008A6B56">
            <w:pPr>
              <w:spacing w:line="240" w:lineRule="auto"/>
            </w:pPr>
            <w:r w:rsidRPr="00F96011">
              <w:t>- Prix d’achat / kg de bois de chauffe par les collecteurs</w:t>
            </w:r>
          </w:p>
          <w:p w14:paraId="15CB1ED6" w14:textId="56EC3977" w:rsidR="00F96011" w:rsidRPr="00F96011" w:rsidRDefault="00F96011" w:rsidP="008A6B56">
            <w:pPr>
              <w:spacing w:line="240" w:lineRule="auto"/>
            </w:pPr>
            <w:r w:rsidRPr="00F96011">
              <w:t>- Prix d’achat /kg de charbon de bois par les distributeurs</w:t>
            </w:r>
          </w:p>
          <w:p w14:paraId="2C6AC213" w14:textId="77777777" w:rsidR="00F96011" w:rsidRPr="00F96011" w:rsidRDefault="00F96011" w:rsidP="008A6B56">
            <w:pPr>
              <w:spacing w:line="240" w:lineRule="auto"/>
            </w:pPr>
            <w:r w:rsidRPr="00F96011">
              <w:t>- Prix d’achat / kg de bois de chauffe par les distributeurs</w:t>
            </w:r>
          </w:p>
          <w:p w14:paraId="16A40D93" w14:textId="77777777" w:rsidR="00F96011" w:rsidRPr="00F96011" w:rsidRDefault="00F96011" w:rsidP="008A6B56">
            <w:pPr>
              <w:spacing w:line="240" w:lineRule="auto"/>
            </w:pPr>
            <w:r w:rsidRPr="00F96011">
              <w:t>- Prix d’achat /kg de charbon de bois par les détaillants</w:t>
            </w:r>
          </w:p>
          <w:p w14:paraId="2EA97C7F" w14:textId="77777777" w:rsidR="00F96011" w:rsidRPr="00F96011" w:rsidRDefault="00F96011" w:rsidP="008A6B56">
            <w:pPr>
              <w:spacing w:line="240" w:lineRule="auto"/>
            </w:pPr>
            <w:r w:rsidRPr="00F96011">
              <w:t>- Prix d’achat / kg de bois de chauffe par les détaillants</w:t>
            </w:r>
          </w:p>
        </w:tc>
      </w:tr>
      <w:tr w:rsidR="00F96011" w:rsidRPr="00F96011" w14:paraId="6B36666A" w14:textId="77777777" w:rsidTr="00DE7F84">
        <w:tc>
          <w:tcPr>
            <w:tcW w:w="1014" w:type="pct"/>
            <w:tcBorders>
              <w:top w:val="single" w:sz="4" w:space="0" w:color="auto"/>
              <w:left w:val="single" w:sz="4" w:space="0" w:color="auto"/>
              <w:bottom w:val="single" w:sz="4" w:space="0" w:color="auto"/>
              <w:right w:val="single" w:sz="4" w:space="0" w:color="auto"/>
            </w:tcBorders>
            <w:hideMark/>
          </w:tcPr>
          <w:p w14:paraId="76EE36F5"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2BBF4E50" w14:textId="77777777" w:rsidR="00F96011" w:rsidRPr="00F96011" w:rsidRDefault="00F96011" w:rsidP="008A6B56">
            <w:pPr>
              <w:spacing w:line="240" w:lineRule="auto"/>
              <w:jc w:val="both"/>
            </w:pPr>
            <w:r w:rsidRPr="00F96011">
              <w:t>Enquêtes auprès de différents acteurs de la filière bois énergie.</w:t>
            </w:r>
          </w:p>
          <w:p w14:paraId="652C2FE6" w14:textId="73DF858C" w:rsidR="00F96011" w:rsidRPr="00F96011" w:rsidRDefault="00F96011" w:rsidP="008A6B56">
            <w:pPr>
              <w:spacing w:line="240" w:lineRule="auto"/>
              <w:jc w:val="both"/>
            </w:pPr>
            <w:r w:rsidRPr="00F96011">
              <w:t>La collecte de données est précédée</w:t>
            </w:r>
            <w:r w:rsidRPr="00F96011">
              <w:rPr>
                <w:color w:val="00B050"/>
              </w:rPr>
              <w:t xml:space="preserve"> </w:t>
            </w:r>
            <w:r w:rsidRPr="00F96011">
              <w:t xml:space="preserve">d’une étude préalable (recensement des producteurs de foyers). Cette étape est suivie par une formation </w:t>
            </w:r>
            <w:r w:rsidR="0069749B" w:rsidRPr="00670132">
              <w:t xml:space="preserve">portant sur les objectifs et techniques de collecte de données afin qu’ils puissent agir avec le minimum de professionnalisme. </w:t>
            </w:r>
            <w:r w:rsidRPr="00F96011">
              <w:t>Le Cantonnement forestier, les agents du ministère en charge de l’énergie, ceux du ministère en charge du commerce et les différents partenaires s’occuperont de cette formation et de la supervision des enquêteurs engagés pour les travaux ; leur répartition dans les zones d’intervention relève de l’organisation du groupe par District.</w:t>
            </w:r>
          </w:p>
        </w:tc>
      </w:tr>
      <w:tr w:rsidR="00B32EA8" w:rsidRPr="00F96011" w14:paraId="40FA6EEB" w14:textId="77777777" w:rsidTr="00DE7F84">
        <w:tc>
          <w:tcPr>
            <w:tcW w:w="1014" w:type="pct"/>
            <w:vMerge w:val="restart"/>
            <w:tcBorders>
              <w:top w:val="single" w:sz="4" w:space="0" w:color="auto"/>
              <w:left w:val="single" w:sz="4" w:space="0" w:color="auto"/>
              <w:right w:val="single" w:sz="4" w:space="0" w:color="auto"/>
            </w:tcBorders>
            <w:hideMark/>
          </w:tcPr>
          <w:p w14:paraId="2103E4E0" w14:textId="77777777" w:rsidR="00B32EA8" w:rsidRPr="00F96011" w:rsidRDefault="00B32EA8"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003E610C" w14:textId="1340B61E" w:rsidR="00B32EA8" w:rsidRPr="00DE7F84" w:rsidRDefault="00B32EA8" w:rsidP="008A6B56">
            <w:pPr>
              <w:spacing w:line="240" w:lineRule="auto"/>
              <w:jc w:val="right"/>
              <w:rPr>
                <w:i/>
                <w:iCs/>
                <w:sz w:val="20"/>
                <w:szCs w:val="20"/>
              </w:rPr>
            </w:pPr>
            <w:r w:rsidRPr="00DE7F84">
              <w:rPr>
                <w:i/>
                <w:iCs/>
                <w:sz w:val="20"/>
                <w:szCs w:val="20"/>
              </w:rPr>
              <w:t>Prix moyen d’achat des différents types de produits bois énergie par les collecteurs</w:t>
            </w:r>
          </w:p>
        </w:tc>
        <w:tc>
          <w:tcPr>
            <w:tcW w:w="1993" w:type="pct"/>
            <w:tcBorders>
              <w:top w:val="single" w:sz="4" w:space="0" w:color="auto"/>
              <w:left w:val="nil"/>
              <w:bottom w:val="nil"/>
              <w:right w:val="single" w:sz="4" w:space="0" w:color="auto"/>
            </w:tcBorders>
          </w:tcPr>
          <w:p w14:paraId="493F21E9" w14:textId="77777777" w:rsidR="00B32EA8" w:rsidRPr="00DE7F84" w:rsidRDefault="00B32EA8" w:rsidP="008A6B56">
            <w:pPr>
              <w:spacing w:line="240" w:lineRule="auto"/>
              <w:rPr>
                <w:i/>
                <w:iCs/>
                <w:sz w:val="20"/>
                <w:szCs w:val="20"/>
              </w:rPr>
            </w:pPr>
            <w:r w:rsidRPr="00DE7F84">
              <w:rPr>
                <w:i/>
                <w:iCs/>
                <w:sz w:val="20"/>
                <w:szCs w:val="20"/>
              </w:rPr>
              <w:t>= Somme prix d’achat des différents types de produits bois énergie par les collecteurs / Nombre total d’enquête sur les collecteurs</w:t>
            </w:r>
          </w:p>
          <w:p w14:paraId="2D701C4D" w14:textId="0F97AFC7" w:rsidR="00DE7F84" w:rsidRPr="00DE7F84" w:rsidRDefault="00DE7F84" w:rsidP="008A6B56">
            <w:pPr>
              <w:spacing w:line="240" w:lineRule="auto"/>
              <w:rPr>
                <w:i/>
                <w:iCs/>
                <w:sz w:val="20"/>
                <w:szCs w:val="20"/>
              </w:rPr>
            </w:pPr>
          </w:p>
        </w:tc>
      </w:tr>
      <w:tr w:rsidR="00B32EA8" w:rsidRPr="00F96011" w14:paraId="3E29FC87" w14:textId="77777777" w:rsidTr="00DE7F84">
        <w:tc>
          <w:tcPr>
            <w:tcW w:w="1014" w:type="pct"/>
            <w:vMerge/>
            <w:tcBorders>
              <w:left w:val="single" w:sz="4" w:space="0" w:color="auto"/>
              <w:right w:val="single" w:sz="4" w:space="0" w:color="auto"/>
            </w:tcBorders>
          </w:tcPr>
          <w:p w14:paraId="09FD50DB" w14:textId="77777777" w:rsidR="00B32EA8" w:rsidRPr="00F96011" w:rsidRDefault="00B32EA8" w:rsidP="008A6B56">
            <w:pPr>
              <w:spacing w:line="240" w:lineRule="auto"/>
              <w:rPr>
                <w:b/>
                <w:bCs/>
              </w:rPr>
            </w:pPr>
          </w:p>
        </w:tc>
        <w:tc>
          <w:tcPr>
            <w:tcW w:w="1993" w:type="pct"/>
            <w:gridSpan w:val="2"/>
            <w:tcBorders>
              <w:top w:val="nil"/>
              <w:left w:val="single" w:sz="4" w:space="0" w:color="auto"/>
              <w:bottom w:val="nil"/>
              <w:right w:val="nil"/>
            </w:tcBorders>
          </w:tcPr>
          <w:p w14:paraId="5613AAB0" w14:textId="3E9CA981" w:rsidR="00B32EA8" w:rsidRPr="00DE7F84" w:rsidRDefault="00B32EA8" w:rsidP="008A6B56">
            <w:pPr>
              <w:spacing w:line="240" w:lineRule="auto"/>
              <w:jc w:val="right"/>
              <w:rPr>
                <w:i/>
                <w:iCs/>
                <w:sz w:val="20"/>
                <w:szCs w:val="20"/>
              </w:rPr>
            </w:pPr>
            <w:r w:rsidRPr="00DE7F84">
              <w:rPr>
                <w:i/>
                <w:iCs/>
                <w:sz w:val="20"/>
                <w:szCs w:val="20"/>
              </w:rPr>
              <w:t>Prix moyen d’achat des différents types de produits bois énergie par les distributeurs</w:t>
            </w:r>
          </w:p>
        </w:tc>
        <w:tc>
          <w:tcPr>
            <w:tcW w:w="1993" w:type="pct"/>
            <w:tcBorders>
              <w:top w:val="nil"/>
              <w:left w:val="nil"/>
              <w:bottom w:val="nil"/>
              <w:right w:val="single" w:sz="4" w:space="0" w:color="auto"/>
            </w:tcBorders>
          </w:tcPr>
          <w:p w14:paraId="4F31E736" w14:textId="77777777" w:rsidR="00B32EA8" w:rsidRPr="00DE7F84" w:rsidRDefault="00B32EA8" w:rsidP="008A6B56">
            <w:pPr>
              <w:spacing w:line="240" w:lineRule="auto"/>
              <w:rPr>
                <w:i/>
                <w:iCs/>
                <w:sz w:val="20"/>
                <w:szCs w:val="20"/>
              </w:rPr>
            </w:pPr>
            <w:r w:rsidRPr="00DE7F84">
              <w:rPr>
                <w:i/>
                <w:iCs/>
                <w:sz w:val="20"/>
                <w:szCs w:val="20"/>
              </w:rPr>
              <w:t>= Somme prix d’achat des différents types de produits bois énergie par les distributeurs / Nombre total d’enquête sur les distributeurs</w:t>
            </w:r>
          </w:p>
          <w:p w14:paraId="4B881211" w14:textId="1604BF77" w:rsidR="00DE7F84" w:rsidRPr="00DE7F84" w:rsidRDefault="00DE7F84" w:rsidP="008A6B56">
            <w:pPr>
              <w:spacing w:line="240" w:lineRule="auto"/>
              <w:rPr>
                <w:i/>
                <w:iCs/>
                <w:sz w:val="20"/>
                <w:szCs w:val="20"/>
              </w:rPr>
            </w:pPr>
          </w:p>
        </w:tc>
      </w:tr>
      <w:tr w:rsidR="00B32EA8" w:rsidRPr="00F96011" w14:paraId="5E3B9B8B" w14:textId="77777777" w:rsidTr="00DE7F84">
        <w:tc>
          <w:tcPr>
            <w:tcW w:w="1014" w:type="pct"/>
            <w:vMerge/>
            <w:tcBorders>
              <w:left w:val="single" w:sz="4" w:space="0" w:color="auto"/>
              <w:bottom w:val="single" w:sz="4" w:space="0" w:color="auto"/>
              <w:right w:val="single" w:sz="4" w:space="0" w:color="auto"/>
            </w:tcBorders>
          </w:tcPr>
          <w:p w14:paraId="758F5C95" w14:textId="77777777" w:rsidR="00B32EA8" w:rsidRPr="00F96011" w:rsidRDefault="00B32EA8" w:rsidP="008A6B56">
            <w:pPr>
              <w:spacing w:line="240" w:lineRule="auto"/>
              <w:rPr>
                <w:b/>
                <w:bCs/>
              </w:rPr>
            </w:pPr>
          </w:p>
        </w:tc>
        <w:tc>
          <w:tcPr>
            <w:tcW w:w="1993" w:type="pct"/>
            <w:gridSpan w:val="2"/>
            <w:tcBorders>
              <w:top w:val="nil"/>
              <w:left w:val="single" w:sz="4" w:space="0" w:color="auto"/>
              <w:bottom w:val="single" w:sz="4" w:space="0" w:color="auto"/>
              <w:right w:val="nil"/>
            </w:tcBorders>
          </w:tcPr>
          <w:p w14:paraId="17DFBE3C" w14:textId="3AB80116" w:rsidR="00B32EA8" w:rsidRPr="00DE7F84" w:rsidRDefault="00B32EA8" w:rsidP="008A6B56">
            <w:pPr>
              <w:spacing w:line="240" w:lineRule="auto"/>
              <w:jc w:val="right"/>
              <w:rPr>
                <w:i/>
                <w:iCs/>
                <w:sz w:val="20"/>
                <w:szCs w:val="20"/>
              </w:rPr>
            </w:pPr>
            <w:r w:rsidRPr="00DE7F84">
              <w:rPr>
                <w:i/>
                <w:iCs/>
                <w:sz w:val="20"/>
                <w:szCs w:val="20"/>
              </w:rPr>
              <w:t>Prix moyen d’achat des différents types de produits bois énergie par les détaillants</w:t>
            </w:r>
          </w:p>
        </w:tc>
        <w:tc>
          <w:tcPr>
            <w:tcW w:w="1993" w:type="pct"/>
            <w:tcBorders>
              <w:top w:val="nil"/>
              <w:left w:val="nil"/>
              <w:bottom w:val="single" w:sz="4" w:space="0" w:color="auto"/>
              <w:right w:val="single" w:sz="4" w:space="0" w:color="auto"/>
            </w:tcBorders>
          </w:tcPr>
          <w:p w14:paraId="7D91D23E" w14:textId="35C1E9A2" w:rsidR="00B32EA8" w:rsidRPr="00DE7F84" w:rsidRDefault="00B32EA8" w:rsidP="008A6B56">
            <w:pPr>
              <w:spacing w:line="240" w:lineRule="auto"/>
              <w:rPr>
                <w:i/>
                <w:iCs/>
                <w:sz w:val="20"/>
                <w:szCs w:val="20"/>
              </w:rPr>
            </w:pPr>
            <w:r w:rsidRPr="00DE7F84">
              <w:rPr>
                <w:i/>
                <w:iCs/>
                <w:sz w:val="20"/>
                <w:szCs w:val="20"/>
              </w:rPr>
              <w:t>= Somme prix d’achat des différents types de produits bois énergie par les détaillants / Nombre total d’enquête sur les détaillants</w:t>
            </w:r>
          </w:p>
        </w:tc>
      </w:tr>
      <w:tr w:rsidR="00B32EA8" w:rsidRPr="00F96011" w14:paraId="7BFF01A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27E0902" w14:textId="77777777" w:rsidR="00B32EA8" w:rsidRPr="00F96011" w:rsidRDefault="00B32EA8"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182C7130" w14:textId="77777777" w:rsidR="00B32EA8" w:rsidRPr="00F96011" w:rsidRDefault="00B32EA8" w:rsidP="008A6B56">
            <w:pPr>
              <w:spacing w:line="240" w:lineRule="auto"/>
            </w:pPr>
            <w:r w:rsidRPr="00F96011">
              <w:t>Ariary</w:t>
            </w:r>
          </w:p>
        </w:tc>
      </w:tr>
      <w:tr w:rsidR="00B32EA8" w:rsidRPr="00F96011" w14:paraId="7F9E8FC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0EF1487" w14:textId="77777777" w:rsidR="00B32EA8" w:rsidRPr="00F96011" w:rsidRDefault="00B32EA8"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6EF31CA3" w14:textId="77777777" w:rsidR="00B32EA8" w:rsidRPr="00F96011" w:rsidRDefault="00B32EA8" w:rsidP="008A6B56">
            <w:pPr>
              <w:spacing w:line="240" w:lineRule="auto"/>
            </w:pPr>
            <w:r w:rsidRPr="00F96011">
              <w:t>Chaque année</w:t>
            </w:r>
          </w:p>
        </w:tc>
      </w:tr>
      <w:tr w:rsidR="00B32EA8" w:rsidRPr="00F96011" w14:paraId="603CFB9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0FDABC5" w14:textId="77777777" w:rsidR="00B32EA8" w:rsidRPr="00F96011" w:rsidRDefault="00B32EA8"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1EB35127" w14:textId="77777777" w:rsidR="00B32EA8" w:rsidRPr="00F96011" w:rsidRDefault="00B32EA8"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B32EA8" w:rsidRPr="00F96011" w14:paraId="257824E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E8BCA13" w14:textId="77777777" w:rsidR="00B32EA8" w:rsidRPr="00F96011" w:rsidRDefault="00B32EA8"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73D3F558" w14:textId="77777777" w:rsidR="00B32EA8" w:rsidRPr="00F96011" w:rsidRDefault="00B32EA8" w:rsidP="008A6B56">
            <w:pPr>
              <w:spacing w:line="240" w:lineRule="auto"/>
            </w:pPr>
            <w:r w:rsidRPr="00F96011">
              <w:t>Modérée</w:t>
            </w:r>
          </w:p>
        </w:tc>
      </w:tr>
    </w:tbl>
    <w:p w14:paraId="391531F3" w14:textId="77777777" w:rsidR="00ED5D1B" w:rsidRDefault="00ED5D1B">
      <w:r>
        <w:br w:type="page"/>
      </w:r>
    </w:p>
    <w:tbl>
      <w:tblPr>
        <w:tblStyle w:val="Grilledutableau3"/>
        <w:tblW w:w="5000" w:type="pct"/>
        <w:tblInd w:w="0" w:type="dxa"/>
        <w:tblLook w:val="04A0" w:firstRow="1" w:lastRow="0" w:firstColumn="1" w:lastColumn="0" w:noHBand="0" w:noVBand="1"/>
      </w:tblPr>
      <w:tblGrid>
        <w:gridCol w:w="1837"/>
        <w:gridCol w:w="2552"/>
        <w:gridCol w:w="1135"/>
        <w:gridCol w:w="3538"/>
      </w:tblGrid>
      <w:tr w:rsidR="00F96011" w:rsidRPr="00F96011" w14:paraId="0B02C2C9"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077ABF1F" w14:textId="19A3B9A2" w:rsidR="00F96011" w:rsidRPr="00A92FDE" w:rsidRDefault="00F96011" w:rsidP="008A6B56">
            <w:pPr>
              <w:spacing w:line="240" w:lineRule="auto"/>
              <w:rPr>
                <w:b/>
                <w:bCs/>
              </w:rPr>
            </w:pPr>
            <w:r w:rsidRPr="00A92FDE">
              <w:rPr>
                <w:b/>
                <w:bCs/>
              </w:rPr>
              <w:lastRenderedPageBreak/>
              <w:t>Fiche N° 11</w:t>
            </w:r>
          </w:p>
        </w:tc>
      </w:tr>
      <w:tr w:rsidR="00F96011" w:rsidRPr="00F96011" w14:paraId="7EB30159"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03F7472E" w14:textId="01FE9E4A" w:rsidR="00F96011" w:rsidRPr="00F96011" w:rsidRDefault="00F96011" w:rsidP="008A6B56">
            <w:pPr>
              <w:spacing w:line="240" w:lineRule="auto"/>
            </w:pPr>
            <w:r w:rsidRPr="00F96011">
              <w:t xml:space="preserve">Transport et commercialisation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40725EFE" w14:textId="2D939485" w:rsidR="00F96011" w:rsidRPr="00F96011" w:rsidRDefault="00F96011" w:rsidP="008A6B56">
            <w:pPr>
              <w:pStyle w:val="Titre2"/>
              <w:spacing w:line="240" w:lineRule="auto"/>
              <w:outlineLvl w:val="1"/>
            </w:pPr>
            <w:bookmarkStart w:id="19" w:name="_Toc75162459"/>
            <w:r w:rsidRPr="00F96011">
              <w:t>Montant total de taxes perçu</w:t>
            </w:r>
            <w:r w:rsidR="00730454">
              <w:t>e</w:t>
            </w:r>
            <w:r w:rsidRPr="00F96011">
              <w:t>s relati</w:t>
            </w:r>
            <w:r w:rsidR="00730454">
              <w:t>ve</w:t>
            </w:r>
            <w:r w:rsidRPr="00F96011">
              <w:t xml:space="preserve">s aux activités liées au </w:t>
            </w:r>
            <w:r w:rsidR="00C76BB3">
              <w:t>bois énergie</w:t>
            </w:r>
            <w:bookmarkEnd w:id="19"/>
          </w:p>
        </w:tc>
      </w:tr>
      <w:tr w:rsidR="00F96011" w:rsidRPr="00F96011" w14:paraId="4E735C1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447B3AF"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3DC52042" w14:textId="5A3B0FEE" w:rsidR="00F96011" w:rsidRPr="00F96011" w:rsidRDefault="00F96011" w:rsidP="008A6B56">
            <w:pPr>
              <w:spacing w:line="240" w:lineRule="auto"/>
              <w:jc w:val="both"/>
              <w:rPr>
                <w:rFonts w:ascii="Georgia" w:hAnsi="Georgia" w:cs="Georgia"/>
                <w:sz w:val="18"/>
                <w:szCs w:val="18"/>
              </w:rPr>
            </w:pPr>
            <w:r w:rsidRPr="00F96011">
              <w:t>D’après le Décret 82-312 réglementant la fabrication de charbon de bois et modèles indicatifs, promulgué en 1982 ; tout charbonnier œuvrant dans les forêts naturelles ou reboisement de l’Etat, doit payer une redevance forestière</w:t>
            </w:r>
            <w:r w:rsidR="00B32EA8">
              <w:t xml:space="preserve"> (permis d’exploitation, laissez-passer)</w:t>
            </w:r>
            <w:r w:rsidRPr="00F96011">
              <w:t>. Cet indicateur sert à connaître la régularité de tous les acteurs en bois énergie en matière de taxes et ristournes.</w:t>
            </w:r>
            <w:r w:rsidRPr="00F96011">
              <w:rPr>
                <w:rFonts w:ascii="ArialMT" w:hAnsi="ArialMT" w:cs="ArialMT"/>
                <w:sz w:val="16"/>
                <w:szCs w:val="16"/>
              </w:rPr>
              <w:t xml:space="preserve"> </w:t>
            </w:r>
          </w:p>
        </w:tc>
      </w:tr>
      <w:tr w:rsidR="00F96011" w:rsidRPr="00F96011" w14:paraId="396FA3D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AA0CF93"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4647FF7C" w14:textId="77777777" w:rsidR="00F96011" w:rsidRPr="00F96011" w:rsidRDefault="00F96011" w:rsidP="008A6B56">
            <w:pPr>
              <w:spacing w:line="240" w:lineRule="auto"/>
            </w:pPr>
            <w:r w:rsidRPr="00F96011">
              <w:t xml:space="preserve">- Montant total perçu de ristourne </w:t>
            </w:r>
          </w:p>
          <w:p w14:paraId="53212405" w14:textId="77777777" w:rsidR="00F96011" w:rsidRPr="00F96011" w:rsidRDefault="00F96011" w:rsidP="008A6B56">
            <w:pPr>
              <w:spacing w:line="240" w:lineRule="auto"/>
            </w:pPr>
            <w:r w:rsidRPr="00F96011">
              <w:t xml:space="preserve">- Montant total perçu de redevance forestière </w:t>
            </w:r>
          </w:p>
        </w:tc>
      </w:tr>
      <w:tr w:rsidR="00F96011" w:rsidRPr="00F96011" w14:paraId="0671D55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AED48A6"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4C08BE1A" w14:textId="77777777" w:rsidR="00F96011" w:rsidRPr="00F96011" w:rsidRDefault="00F96011" w:rsidP="008A6B56">
            <w:pPr>
              <w:spacing w:line="240" w:lineRule="auto"/>
              <w:rPr>
                <w:i/>
                <w:iCs/>
              </w:rPr>
            </w:pPr>
            <w:r w:rsidRPr="00F96011">
              <w:rPr>
                <w:i/>
                <w:iCs/>
              </w:rPr>
              <w:t>Fiche de collecte de données secondaires</w:t>
            </w:r>
          </w:p>
        </w:tc>
      </w:tr>
      <w:tr w:rsidR="00F96011" w:rsidRPr="00F96011" w14:paraId="07AB239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8117784"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3122DCCB" w14:textId="77777777" w:rsidR="00F96011" w:rsidRPr="00F96011" w:rsidRDefault="00F96011" w:rsidP="008A6B56">
            <w:pPr>
              <w:spacing w:line="240" w:lineRule="auto"/>
            </w:pPr>
            <w:r w:rsidRPr="00F96011">
              <w:rPr>
                <w:strike/>
              </w:rPr>
              <w:t>-</w:t>
            </w:r>
            <w:r w:rsidRPr="00F96011">
              <w:t xml:space="preserve"> Existence de texte fixant les ristournes à prélever sur le bois-énergie </w:t>
            </w:r>
          </w:p>
          <w:p w14:paraId="217D296C" w14:textId="77777777" w:rsidR="00F96011" w:rsidRPr="00F96011" w:rsidRDefault="00F96011" w:rsidP="008A6B56">
            <w:pPr>
              <w:spacing w:line="240" w:lineRule="auto"/>
            </w:pPr>
            <w:r w:rsidRPr="00F96011">
              <w:t xml:space="preserve">- Nb de quittance ristourne délivrée </w:t>
            </w:r>
          </w:p>
          <w:p w14:paraId="59AAC742" w14:textId="77777777" w:rsidR="00F96011" w:rsidRPr="00F96011" w:rsidRDefault="00F96011" w:rsidP="008A6B56">
            <w:pPr>
              <w:spacing w:line="240" w:lineRule="auto"/>
            </w:pPr>
            <w:r w:rsidRPr="00F96011">
              <w:t>- Nb de quittance redevance délivrée</w:t>
            </w:r>
          </w:p>
        </w:tc>
      </w:tr>
      <w:tr w:rsidR="00F96011" w:rsidRPr="00F96011" w14:paraId="4516881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B803D6E"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11C170F1" w14:textId="77777777" w:rsidR="00F96011" w:rsidRPr="00F96011" w:rsidRDefault="00F96011" w:rsidP="008A6B56">
            <w:pPr>
              <w:spacing w:line="240" w:lineRule="auto"/>
              <w:jc w:val="both"/>
            </w:pPr>
            <w:r w:rsidRPr="00F96011">
              <w:t xml:space="preserve">Enquêtes auprès de l’administration forestière et des commune et région concernées. Les infos à collecter sont le nombre et montant de quittances délivrées lors des paiements de taxe et ristourne pour justifier l’acquittement des acteurs en bois énergie. </w:t>
            </w:r>
          </w:p>
        </w:tc>
      </w:tr>
      <w:tr w:rsidR="00F96011" w:rsidRPr="00F96011" w14:paraId="3A6DACA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C6EEF10" w14:textId="77777777" w:rsidR="00F96011" w:rsidRPr="00F96011" w:rsidRDefault="00F96011" w:rsidP="008A6B56">
            <w:pPr>
              <w:spacing w:line="240" w:lineRule="auto"/>
              <w:rPr>
                <w:b/>
                <w:bCs/>
              </w:rPr>
            </w:pPr>
            <w:r w:rsidRPr="00F96011">
              <w:rPr>
                <w:b/>
                <w:bCs/>
              </w:rPr>
              <w:t>Méthode de calcul</w:t>
            </w:r>
          </w:p>
        </w:tc>
        <w:tc>
          <w:tcPr>
            <w:tcW w:w="2034" w:type="pct"/>
            <w:gridSpan w:val="2"/>
            <w:tcBorders>
              <w:top w:val="single" w:sz="4" w:space="0" w:color="auto"/>
              <w:left w:val="single" w:sz="4" w:space="0" w:color="auto"/>
              <w:bottom w:val="single" w:sz="4" w:space="0" w:color="auto"/>
              <w:right w:val="nil"/>
            </w:tcBorders>
          </w:tcPr>
          <w:p w14:paraId="16D5E818" w14:textId="77777777" w:rsidR="00F96011" w:rsidRPr="00F96011" w:rsidRDefault="00F96011" w:rsidP="008A6B56">
            <w:pPr>
              <w:spacing w:line="240" w:lineRule="auto"/>
              <w:jc w:val="right"/>
              <w:rPr>
                <w:i/>
                <w:iCs/>
                <w:sz w:val="20"/>
                <w:szCs w:val="20"/>
              </w:rPr>
            </w:pPr>
            <w:r w:rsidRPr="00F96011">
              <w:rPr>
                <w:i/>
                <w:iCs/>
                <w:sz w:val="20"/>
                <w:szCs w:val="20"/>
              </w:rPr>
              <w:t>Montant total ristourne perçu</w:t>
            </w:r>
          </w:p>
          <w:p w14:paraId="2735ABCC" w14:textId="77777777" w:rsidR="00F96011" w:rsidRPr="00F96011" w:rsidRDefault="00F96011" w:rsidP="008A6B56">
            <w:pPr>
              <w:spacing w:line="240" w:lineRule="auto"/>
              <w:jc w:val="right"/>
              <w:rPr>
                <w:i/>
                <w:iCs/>
                <w:sz w:val="20"/>
                <w:szCs w:val="20"/>
              </w:rPr>
            </w:pPr>
          </w:p>
          <w:p w14:paraId="510C8B19" w14:textId="77777777" w:rsidR="00F96011" w:rsidRPr="00F96011" w:rsidRDefault="00F96011" w:rsidP="008A6B56">
            <w:pPr>
              <w:spacing w:line="240" w:lineRule="auto"/>
              <w:jc w:val="right"/>
              <w:rPr>
                <w:i/>
                <w:iCs/>
                <w:sz w:val="20"/>
                <w:szCs w:val="20"/>
              </w:rPr>
            </w:pPr>
          </w:p>
          <w:p w14:paraId="69411DB0" w14:textId="77777777" w:rsidR="00F96011" w:rsidRPr="00F96011" w:rsidRDefault="00F96011" w:rsidP="008A6B56">
            <w:pPr>
              <w:spacing w:line="240" w:lineRule="auto"/>
              <w:jc w:val="right"/>
              <w:rPr>
                <w:i/>
                <w:iCs/>
                <w:sz w:val="20"/>
                <w:szCs w:val="20"/>
              </w:rPr>
            </w:pPr>
            <w:r w:rsidRPr="00F96011">
              <w:rPr>
                <w:i/>
                <w:iCs/>
                <w:sz w:val="20"/>
                <w:szCs w:val="20"/>
              </w:rPr>
              <w:t>Montant total redevance perçue</w:t>
            </w:r>
          </w:p>
          <w:p w14:paraId="021CE074" w14:textId="77777777" w:rsidR="00F96011" w:rsidRPr="00F96011" w:rsidRDefault="00F96011" w:rsidP="008A6B56">
            <w:pPr>
              <w:spacing w:line="240" w:lineRule="auto"/>
              <w:jc w:val="right"/>
              <w:rPr>
                <w:i/>
                <w:iCs/>
                <w:sz w:val="20"/>
                <w:szCs w:val="20"/>
              </w:rPr>
            </w:pPr>
          </w:p>
          <w:p w14:paraId="28DB6AC1" w14:textId="77777777" w:rsidR="00F96011" w:rsidRPr="00F96011" w:rsidRDefault="00F96011" w:rsidP="008A6B56">
            <w:pPr>
              <w:spacing w:line="240" w:lineRule="auto"/>
              <w:jc w:val="right"/>
              <w:rPr>
                <w:i/>
                <w:iCs/>
                <w:sz w:val="20"/>
                <w:szCs w:val="20"/>
              </w:rPr>
            </w:pPr>
          </w:p>
          <w:p w14:paraId="049B32D4" w14:textId="77777777" w:rsidR="00F96011" w:rsidRPr="00F96011" w:rsidRDefault="00F96011" w:rsidP="008A6B56">
            <w:pPr>
              <w:spacing w:line="240" w:lineRule="auto"/>
              <w:jc w:val="right"/>
              <w:rPr>
                <w:i/>
                <w:iCs/>
                <w:sz w:val="20"/>
                <w:szCs w:val="20"/>
              </w:rPr>
            </w:pPr>
            <w:r w:rsidRPr="00F96011">
              <w:rPr>
                <w:i/>
                <w:iCs/>
                <w:sz w:val="20"/>
                <w:szCs w:val="20"/>
              </w:rPr>
              <w:t>Montant total taxe perçu (par District)</w:t>
            </w:r>
          </w:p>
          <w:p w14:paraId="50F9A8C9" w14:textId="77777777" w:rsidR="00F96011" w:rsidRPr="00F96011" w:rsidRDefault="00F96011" w:rsidP="008A6B56">
            <w:pPr>
              <w:spacing w:line="240" w:lineRule="auto"/>
              <w:jc w:val="right"/>
              <w:rPr>
                <w:sz w:val="20"/>
                <w:szCs w:val="20"/>
              </w:rPr>
            </w:pPr>
          </w:p>
          <w:p w14:paraId="14CD0296" w14:textId="77777777" w:rsidR="00F96011" w:rsidRPr="00F96011" w:rsidRDefault="00F96011" w:rsidP="008A6B56">
            <w:pPr>
              <w:spacing w:line="240" w:lineRule="auto"/>
              <w:jc w:val="right"/>
              <w:rPr>
                <w:i/>
                <w:iCs/>
                <w:sz w:val="20"/>
                <w:szCs w:val="20"/>
              </w:rPr>
            </w:pPr>
            <w:r w:rsidRPr="00F96011">
              <w:rPr>
                <w:i/>
                <w:iCs/>
                <w:sz w:val="20"/>
                <w:szCs w:val="20"/>
              </w:rPr>
              <w:t xml:space="preserve"> </w:t>
            </w:r>
          </w:p>
        </w:tc>
        <w:tc>
          <w:tcPr>
            <w:tcW w:w="1952" w:type="pct"/>
            <w:tcBorders>
              <w:top w:val="single" w:sz="4" w:space="0" w:color="auto"/>
              <w:left w:val="nil"/>
              <w:bottom w:val="single" w:sz="4" w:space="0" w:color="auto"/>
              <w:right w:val="single" w:sz="4" w:space="0" w:color="auto"/>
            </w:tcBorders>
          </w:tcPr>
          <w:p w14:paraId="17E8E69F" w14:textId="77777777" w:rsidR="00F96011" w:rsidRPr="00F96011" w:rsidRDefault="00F96011" w:rsidP="008A6B56">
            <w:pPr>
              <w:spacing w:line="240" w:lineRule="auto"/>
              <w:rPr>
                <w:i/>
                <w:iCs/>
                <w:sz w:val="20"/>
                <w:szCs w:val="20"/>
              </w:rPr>
            </w:pPr>
            <w:r w:rsidRPr="00F96011">
              <w:rPr>
                <w:i/>
                <w:iCs/>
                <w:sz w:val="20"/>
                <w:szCs w:val="20"/>
              </w:rPr>
              <w:t>= Somme de montant des quittances ristournes</w:t>
            </w:r>
          </w:p>
          <w:p w14:paraId="5CE42918" w14:textId="77777777" w:rsidR="00F96011" w:rsidRPr="00F96011" w:rsidRDefault="00F96011" w:rsidP="008A6B56">
            <w:pPr>
              <w:spacing w:line="240" w:lineRule="auto"/>
              <w:rPr>
                <w:i/>
                <w:iCs/>
                <w:sz w:val="20"/>
                <w:szCs w:val="20"/>
              </w:rPr>
            </w:pPr>
          </w:p>
          <w:p w14:paraId="38095490" w14:textId="77777777" w:rsidR="00F96011" w:rsidRPr="00F96011" w:rsidRDefault="00F96011" w:rsidP="008A6B56">
            <w:pPr>
              <w:spacing w:line="240" w:lineRule="auto"/>
              <w:rPr>
                <w:i/>
                <w:iCs/>
                <w:sz w:val="20"/>
                <w:szCs w:val="20"/>
              </w:rPr>
            </w:pPr>
            <w:r w:rsidRPr="00F96011">
              <w:rPr>
                <w:i/>
                <w:iCs/>
                <w:sz w:val="20"/>
                <w:szCs w:val="20"/>
              </w:rPr>
              <w:t>= Somme de montant des quittances redevances</w:t>
            </w:r>
          </w:p>
          <w:p w14:paraId="58FDDFCB" w14:textId="77777777" w:rsidR="00F96011" w:rsidRPr="00F96011" w:rsidRDefault="00F96011" w:rsidP="008A6B56">
            <w:pPr>
              <w:spacing w:line="240" w:lineRule="auto"/>
              <w:rPr>
                <w:i/>
                <w:iCs/>
                <w:sz w:val="20"/>
                <w:szCs w:val="20"/>
              </w:rPr>
            </w:pPr>
          </w:p>
          <w:p w14:paraId="1E7F5387" w14:textId="77777777" w:rsidR="00F96011" w:rsidRPr="00F96011" w:rsidRDefault="00F96011" w:rsidP="008A6B56">
            <w:pPr>
              <w:spacing w:line="240" w:lineRule="auto"/>
              <w:rPr>
                <w:i/>
                <w:iCs/>
                <w:sz w:val="20"/>
                <w:szCs w:val="20"/>
              </w:rPr>
            </w:pPr>
            <w:r w:rsidRPr="00F96011">
              <w:rPr>
                <w:i/>
                <w:iCs/>
                <w:sz w:val="20"/>
                <w:szCs w:val="20"/>
              </w:rPr>
              <w:t xml:space="preserve">= Montant total ristourne perçu + </w:t>
            </w:r>
          </w:p>
          <w:p w14:paraId="15B42149" w14:textId="77777777" w:rsidR="00F96011" w:rsidRPr="00F96011" w:rsidRDefault="00F96011" w:rsidP="008A6B56">
            <w:pPr>
              <w:spacing w:line="240" w:lineRule="auto"/>
              <w:rPr>
                <w:i/>
                <w:iCs/>
                <w:sz w:val="20"/>
                <w:szCs w:val="20"/>
              </w:rPr>
            </w:pPr>
            <w:r w:rsidRPr="00F96011">
              <w:rPr>
                <w:i/>
                <w:iCs/>
                <w:sz w:val="20"/>
                <w:szCs w:val="20"/>
              </w:rPr>
              <w:t>Montant total redevance perçue (par District)</w:t>
            </w:r>
          </w:p>
        </w:tc>
      </w:tr>
      <w:tr w:rsidR="00F96011" w:rsidRPr="00F96011" w14:paraId="48C6783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C869423"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71EDBF08" w14:textId="77777777" w:rsidR="00F96011" w:rsidRPr="00F96011" w:rsidRDefault="00F96011" w:rsidP="008A6B56">
            <w:pPr>
              <w:spacing w:line="240" w:lineRule="auto"/>
            </w:pPr>
            <w:r w:rsidRPr="00F96011">
              <w:t>Ariary</w:t>
            </w:r>
          </w:p>
        </w:tc>
      </w:tr>
      <w:tr w:rsidR="00F96011" w:rsidRPr="00F96011" w14:paraId="4C77093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0FE9573"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1B80A7C" w14:textId="77777777" w:rsidR="00F96011" w:rsidRPr="00F96011" w:rsidRDefault="00F96011" w:rsidP="008A6B56">
            <w:pPr>
              <w:spacing w:line="240" w:lineRule="auto"/>
            </w:pPr>
            <w:r w:rsidRPr="00F96011">
              <w:t>Chaque année</w:t>
            </w:r>
          </w:p>
        </w:tc>
      </w:tr>
      <w:tr w:rsidR="00F96011" w:rsidRPr="00F96011" w14:paraId="00783CA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DAA7ECC"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60CF0178"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45F496D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FBA8C69"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52A95A28" w14:textId="77777777" w:rsidR="00F96011" w:rsidRPr="00F96011" w:rsidRDefault="00F96011" w:rsidP="008A6B56">
            <w:pPr>
              <w:spacing w:line="240" w:lineRule="auto"/>
            </w:pPr>
            <w:r w:rsidRPr="00F96011">
              <w:t>Bonne</w:t>
            </w:r>
          </w:p>
        </w:tc>
      </w:tr>
    </w:tbl>
    <w:p w14:paraId="1421F1A7"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7"/>
        <w:gridCol w:w="2552"/>
        <w:gridCol w:w="990"/>
        <w:gridCol w:w="3683"/>
      </w:tblGrid>
      <w:tr w:rsidR="00F96011" w:rsidRPr="00F96011" w14:paraId="36A0D9DC"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314B73A9" w14:textId="77777777" w:rsidR="00F96011" w:rsidRPr="00A92FDE" w:rsidRDefault="00F96011" w:rsidP="008A6B56">
            <w:pPr>
              <w:spacing w:line="240" w:lineRule="auto"/>
              <w:rPr>
                <w:b/>
                <w:bCs/>
              </w:rPr>
            </w:pPr>
            <w:r w:rsidRPr="00A92FDE">
              <w:rPr>
                <w:b/>
                <w:bCs/>
              </w:rPr>
              <w:lastRenderedPageBreak/>
              <w:t>Fiche N° 12</w:t>
            </w:r>
          </w:p>
        </w:tc>
      </w:tr>
      <w:tr w:rsidR="00F96011" w:rsidRPr="00F96011" w14:paraId="3AA69966"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53D2A0FE" w14:textId="58B71071" w:rsidR="00F96011" w:rsidRPr="00F96011" w:rsidRDefault="00F96011" w:rsidP="008A6B56">
            <w:pPr>
              <w:spacing w:line="240" w:lineRule="auto"/>
              <w:rPr>
                <w:b/>
                <w:bCs/>
              </w:rPr>
            </w:pPr>
            <w:r w:rsidRPr="00F96011">
              <w:t xml:space="preserve">Transport et commercialisation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52770278" w14:textId="334B920C" w:rsidR="00F96011" w:rsidRPr="00F96011" w:rsidRDefault="00F96011" w:rsidP="008A6B56">
            <w:pPr>
              <w:pStyle w:val="Titre2"/>
              <w:spacing w:line="240" w:lineRule="auto"/>
              <w:outlineLvl w:val="1"/>
              <w:rPr>
                <w:color w:val="FF0000"/>
              </w:rPr>
            </w:pPr>
            <w:bookmarkStart w:id="20" w:name="_Toc75162460"/>
            <w:r w:rsidRPr="00F96011">
              <w:t xml:space="preserve">Taux de produits </w:t>
            </w:r>
            <w:r w:rsidR="00C76BB3">
              <w:t>bois énergie</w:t>
            </w:r>
            <w:r w:rsidRPr="00F96011">
              <w:t xml:space="preserve"> illégaux saisis</w:t>
            </w:r>
            <w:bookmarkEnd w:id="20"/>
            <w:r w:rsidRPr="00F96011">
              <w:t xml:space="preserve"> </w:t>
            </w:r>
          </w:p>
        </w:tc>
      </w:tr>
      <w:tr w:rsidR="00F96011" w:rsidRPr="00F96011" w14:paraId="3E9F6BB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457B5CC"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53E6217C" w14:textId="77777777" w:rsidR="00F96011" w:rsidRPr="00F96011" w:rsidRDefault="00F96011" w:rsidP="008A6B56">
            <w:pPr>
              <w:spacing w:line="240" w:lineRule="auto"/>
              <w:jc w:val="both"/>
            </w:pPr>
            <w:r w:rsidRPr="00F96011">
              <w:t xml:space="preserve">Il s’agit de déterminer les activités illégales dans la filière, étant donné que cette dernière contribue à l’économie tant local que régional. </w:t>
            </w:r>
          </w:p>
        </w:tc>
      </w:tr>
      <w:tr w:rsidR="00F96011" w:rsidRPr="00F96011" w14:paraId="0D82094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4F4F566"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44770553" w14:textId="77777777" w:rsidR="00F96011" w:rsidRPr="00F96011" w:rsidRDefault="00F96011" w:rsidP="008A6B56">
            <w:pPr>
              <w:spacing w:line="240" w:lineRule="auto"/>
            </w:pPr>
            <w:r w:rsidRPr="00F96011">
              <w:t>- Quantité produits bois énergie illégaux saisi in situ</w:t>
            </w:r>
          </w:p>
          <w:p w14:paraId="25140EA1" w14:textId="77777777" w:rsidR="00F96011" w:rsidRPr="00F96011" w:rsidRDefault="00F96011" w:rsidP="008A6B56">
            <w:pPr>
              <w:spacing w:line="240" w:lineRule="auto"/>
              <w:jc w:val="both"/>
            </w:pPr>
            <w:r w:rsidRPr="00F96011">
              <w:t xml:space="preserve">- Quantité produits bois énergie illégaux saisi en circulation </w:t>
            </w:r>
          </w:p>
        </w:tc>
      </w:tr>
      <w:tr w:rsidR="00F96011" w:rsidRPr="00F96011" w14:paraId="65AFBA2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0AB0458"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4BD2811B" w14:textId="77777777" w:rsidR="00F96011" w:rsidRPr="00F96011" w:rsidRDefault="00F96011" w:rsidP="008A6B56">
            <w:pPr>
              <w:spacing w:line="240" w:lineRule="auto"/>
              <w:rPr>
                <w:i/>
                <w:iCs/>
              </w:rPr>
            </w:pPr>
            <w:r w:rsidRPr="00F96011">
              <w:rPr>
                <w:i/>
                <w:iCs/>
              </w:rPr>
              <w:t xml:space="preserve">Fiche de </w:t>
            </w:r>
            <w:bookmarkStart w:id="21" w:name="_Hlk74916708"/>
            <w:r w:rsidRPr="00F96011">
              <w:rPr>
                <w:i/>
                <w:iCs/>
              </w:rPr>
              <w:t>collecte de données secondaires</w:t>
            </w:r>
            <w:bookmarkEnd w:id="21"/>
          </w:p>
        </w:tc>
      </w:tr>
      <w:tr w:rsidR="00F96011" w:rsidRPr="00F96011" w14:paraId="3284CFB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1865A98"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3A4E3191" w14:textId="77777777" w:rsidR="00F96011" w:rsidRPr="00F96011" w:rsidRDefault="00F96011" w:rsidP="008A6B56">
            <w:pPr>
              <w:spacing w:line="240" w:lineRule="auto"/>
              <w:jc w:val="both"/>
            </w:pPr>
            <w:r w:rsidRPr="00F96011">
              <w:t>- Nombre d’autorisation de collecte/production paraphé par le service chargé de forêt</w:t>
            </w:r>
          </w:p>
          <w:p w14:paraId="64D051EE" w14:textId="77777777" w:rsidR="00F96011" w:rsidRPr="00F96011" w:rsidRDefault="00F96011" w:rsidP="008A6B56">
            <w:pPr>
              <w:spacing w:line="240" w:lineRule="auto"/>
              <w:jc w:val="both"/>
            </w:pPr>
            <w:r w:rsidRPr="00F96011">
              <w:t>- Quantité de production de bois-énergie autorisée</w:t>
            </w:r>
          </w:p>
          <w:p w14:paraId="26E3F187" w14:textId="4A654692" w:rsidR="00F96011" w:rsidRPr="00F96011" w:rsidRDefault="00F96011" w:rsidP="008A6B56">
            <w:pPr>
              <w:spacing w:line="240" w:lineRule="auto"/>
              <w:jc w:val="both"/>
            </w:pPr>
            <w:r w:rsidRPr="00F96011">
              <w:t>- Quantité de bois</w:t>
            </w:r>
            <w:r w:rsidR="00CA2AC7">
              <w:t xml:space="preserve"> </w:t>
            </w:r>
            <w:r w:rsidRPr="00F96011">
              <w:t>énergie saisi in situ</w:t>
            </w:r>
          </w:p>
          <w:p w14:paraId="11B58842" w14:textId="77777777" w:rsidR="00F96011" w:rsidRPr="00F96011" w:rsidRDefault="00F96011" w:rsidP="008A6B56">
            <w:pPr>
              <w:spacing w:line="240" w:lineRule="auto"/>
              <w:jc w:val="both"/>
            </w:pPr>
            <w:r w:rsidRPr="00F96011">
              <w:t>- Nombre d’autorisation de transport (laissez-passer) paraphé par le service chargé des forêts</w:t>
            </w:r>
          </w:p>
          <w:p w14:paraId="7C391900" w14:textId="77777777" w:rsidR="00F96011" w:rsidRPr="00F96011" w:rsidRDefault="00F96011" w:rsidP="008A6B56">
            <w:pPr>
              <w:spacing w:line="240" w:lineRule="auto"/>
              <w:jc w:val="both"/>
            </w:pPr>
            <w:r w:rsidRPr="00F96011">
              <w:t>- Quantité de bois énergie illégaux transportés</w:t>
            </w:r>
          </w:p>
          <w:p w14:paraId="35810AB7" w14:textId="77777777" w:rsidR="00F96011" w:rsidRPr="00F96011" w:rsidRDefault="00F96011" w:rsidP="008A6B56">
            <w:pPr>
              <w:spacing w:line="240" w:lineRule="auto"/>
              <w:jc w:val="both"/>
            </w:pPr>
            <w:r w:rsidRPr="00F96011">
              <w:t xml:space="preserve">- Nombre de cas d’illégalité constaté </w:t>
            </w:r>
          </w:p>
        </w:tc>
      </w:tr>
      <w:tr w:rsidR="00F96011" w:rsidRPr="00F96011" w14:paraId="421512B2"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C228DE2"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44A9D31F" w14:textId="02D71A5B" w:rsidR="00F96011" w:rsidRPr="00F96011" w:rsidRDefault="00F96011" w:rsidP="008A6B56">
            <w:pPr>
              <w:spacing w:line="240" w:lineRule="auto"/>
              <w:jc w:val="both"/>
              <w:rPr>
                <w:color w:val="00B050"/>
              </w:rPr>
            </w:pPr>
            <w:r w:rsidRPr="00F96011">
              <w:t xml:space="preserve">Par le biais de contrôle du service chargé des forêts accompagné ou non par les autorités compétentes lors de contrôle de routine quand ils constatent les irrégularités sur la filière prennent les mesures correspondantes en respectant les procédures en vigueur dont </w:t>
            </w:r>
            <w:r w:rsidR="00085EEF">
              <w:t xml:space="preserve">entre autres le </w:t>
            </w:r>
            <w:r w:rsidRPr="00F96011">
              <w:t xml:space="preserve">saisi des produits illicites sur terrain. </w:t>
            </w:r>
          </w:p>
        </w:tc>
      </w:tr>
      <w:tr w:rsidR="00F96011" w:rsidRPr="00F96011" w14:paraId="1292607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D7B069D" w14:textId="77777777" w:rsidR="00F96011" w:rsidRPr="00F96011" w:rsidRDefault="00F96011" w:rsidP="008A6B56">
            <w:pPr>
              <w:spacing w:line="240" w:lineRule="auto"/>
              <w:rPr>
                <w:b/>
                <w:bCs/>
              </w:rPr>
            </w:pPr>
            <w:r w:rsidRPr="00F96011">
              <w:rPr>
                <w:b/>
                <w:bCs/>
              </w:rPr>
              <w:t xml:space="preserve">Méthode de calcul </w:t>
            </w:r>
          </w:p>
        </w:tc>
        <w:tc>
          <w:tcPr>
            <w:tcW w:w="1954" w:type="pct"/>
            <w:gridSpan w:val="2"/>
            <w:tcBorders>
              <w:top w:val="single" w:sz="4" w:space="0" w:color="auto"/>
              <w:left w:val="single" w:sz="4" w:space="0" w:color="auto"/>
              <w:bottom w:val="nil"/>
              <w:right w:val="nil"/>
            </w:tcBorders>
          </w:tcPr>
          <w:p w14:paraId="33B9879B" w14:textId="24ECB2F6" w:rsidR="00F96011" w:rsidRPr="00F96011" w:rsidRDefault="00F96011" w:rsidP="008A6B56">
            <w:pPr>
              <w:spacing w:line="240" w:lineRule="auto"/>
              <w:jc w:val="right"/>
              <w:rPr>
                <w:i/>
                <w:iCs/>
                <w:sz w:val="20"/>
                <w:szCs w:val="20"/>
              </w:rPr>
            </w:pPr>
            <w:r w:rsidRPr="00F96011">
              <w:rPr>
                <w:i/>
                <w:iCs/>
                <w:sz w:val="20"/>
                <w:szCs w:val="20"/>
              </w:rPr>
              <w:t xml:space="preserve">Quantité totale </w:t>
            </w:r>
            <w:r w:rsidR="00CA2AC7">
              <w:rPr>
                <w:i/>
                <w:iCs/>
                <w:sz w:val="20"/>
                <w:szCs w:val="20"/>
              </w:rPr>
              <w:t>bois énergie</w:t>
            </w:r>
            <w:r w:rsidRPr="00F96011">
              <w:rPr>
                <w:i/>
                <w:iCs/>
                <w:sz w:val="20"/>
                <w:szCs w:val="20"/>
              </w:rPr>
              <w:t xml:space="preserve"> illicites saisi </w:t>
            </w:r>
          </w:p>
          <w:p w14:paraId="6F942597" w14:textId="77777777" w:rsidR="00F96011" w:rsidRPr="00F96011" w:rsidRDefault="00F96011" w:rsidP="008A6B56">
            <w:pPr>
              <w:spacing w:line="240" w:lineRule="auto"/>
              <w:rPr>
                <w:i/>
                <w:iCs/>
                <w:sz w:val="20"/>
                <w:szCs w:val="20"/>
              </w:rPr>
            </w:pPr>
          </w:p>
          <w:p w14:paraId="2172FB5B" w14:textId="77777777" w:rsidR="00F96011" w:rsidRPr="00F96011" w:rsidRDefault="00F96011" w:rsidP="008A6B56">
            <w:pPr>
              <w:spacing w:line="240" w:lineRule="auto"/>
              <w:jc w:val="right"/>
              <w:rPr>
                <w:i/>
                <w:iCs/>
                <w:sz w:val="20"/>
                <w:szCs w:val="20"/>
              </w:rPr>
            </w:pPr>
          </w:p>
        </w:tc>
        <w:tc>
          <w:tcPr>
            <w:tcW w:w="2032" w:type="pct"/>
            <w:tcBorders>
              <w:top w:val="single" w:sz="4" w:space="0" w:color="auto"/>
              <w:left w:val="nil"/>
              <w:bottom w:val="nil"/>
              <w:right w:val="single" w:sz="4" w:space="0" w:color="auto"/>
            </w:tcBorders>
          </w:tcPr>
          <w:p w14:paraId="5321A24E" w14:textId="5147533D" w:rsidR="00F96011" w:rsidRPr="00F96011" w:rsidRDefault="00F96011" w:rsidP="008A6B56">
            <w:pPr>
              <w:spacing w:line="240" w:lineRule="auto"/>
              <w:jc w:val="both"/>
              <w:rPr>
                <w:i/>
                <w:iCs/>
                <w:sz w:val="20"/>
                <w:szCs w:val="20"/>
              </w:rPr>
            </w:pPr>
            <w:r w:rsidRPr="00F96011">
              <w:rPr>
                <w:i/>
                <w:iCs/>
                <w:sz w:val="20"/>
                <w:szCs w:val="20"/>
              </w:rPr>
              <w:t xml:space="preserve">= Quantité </w:t>
            </w:r>
            <w:r w:rsidR="00CA2AC7">
              <w:rPr>
                <w:i/>
                <w:iCs/>
                <w:sz w:val="20"/>
                <w:szCs w:val="20"/>
              </w:rPr>
              <w:t>bois énergie</w:t>
            </w:r>
            <w:r w:rsidRPr="00F96011">
              <w:rPr>
                <w:i/>
                <w:iCs/>
                <w:sz w:val="20"/>
                <w:szCs w:val="20"/>
              </w:rPr>
              <w:t xml:space="preserve"> illicites saisi in situ + Quantité </w:t>
            </w:r>
            <w:r w:rsidR="00CA2AC7">
              <w:rPr>
                <w:i/>
                <w:iCs/>
                <w:sz w:val="20"/>
                <w:szCs w:val="20"/>
              </w:rPr>
              <w:t>bois énergie</w:t>
            </w:r>
            <w:r w:rsidRPr="00F96011">
              <w:rPr>
                <w:i/>
                <w:iCs/>
                <w:sz w:val="20"/>
                <w:szCs w:val="20"/>
              </w:rPr>
              <w:t xml:space="preserve"> illicites saisi en circulation</w:t>
            </w:r>
          </w:p>
          <w:p w14:paraId="4C5C78C8" w14:textId="77777777" w:rsidR="00F96011" w:rsidRPr="00F96011" w:rsidRDefault="00F96011" w:rsidP="008A6B56">
            <w:pPr>
              <w:spacing w:line="240" w:lineRule="auto"/>
              <w:jc w:val="both"/>
              <w:rPr>
                <w:i/>
                <w:iCs/>
                <w:sz w:val="20"/>
                <w:szCs w:val="20"/>
              </w:rPr>
            </w:pPr>
          </w:p>
        </w:tc>
      </w:tr>
      <w:tr w:rsidR="00F96011" w:rsidRPr="00F96011" w14:paraId="31E59DF0" w14:textId="77777777" w:rsidTr="00F96011">
        <w:tc>
          <w:tcPr>
            <w:tcW w:w="1014" w:type="pct"/>
            <w:tcBorders>
              <w:top w:val="single" w:sz="4" w:space="0" w:color="auto"/>
              <w:left w:val="single" w:sz="4" w:space="0" w:color="auto"/>
              <w:bottom w:val="single" w:sz="4" w:space="0" w:color="auto"/>
              <w:right w:val="single" w:sz="4" w:space="0" w:color="auto"/>
            </w:tcBorders>
          </w:tcPr>
          <w:p w14:paraId="148B2D24" w14:textId="77777777" w:rsidR="00F96011" w:rsidRPr="00F96011" w:rsidRDefault="00F96011" w:rsidP="008A6B56">
            <w:pPr>
              <w:spacing w:line="240" w:lineRule="auto"/>
              <w:rPr>
                <w:b/>
                <w:bCs/>
              </w:rPr>
            </w:pPr>
          </w:p>
        </w:tc>
        <w:tc>
          <w:tcPr>
            <w:tcW w:w="1954" w:type="pct"/>
            <w:gridSpan w:val="2"/>
            <w:tcBorders>
              <w:top w:val="nil"/>
              <w:left w:val="single" w:sz="4" w:space="0" w:color="auto"/>
              <w:bottom w:val="single" w:sz="4" w:space="0" w:color="auto"/>
              <w:right w:val="nil"/>
            </w:tcBorders>
            <w:hideMark/>
          </w:tcPr>
          <w:p w14:paraId="3A4F803E" w14:textId="77777777" w:rsidR="00F96011" w:rsidRPr="00F96011" w:rsidRDefault="00F96011" w:rsidP="008A6B56">
            <w:pPr>
              <w:spacing w:line="240" w:lineRule="auto"/>
              <w:jc w:val="right"/>
              <w:rPr>
                <w:i/>
                <w:iCs/>
                <w:sz w:val="20"/>
                <w:szCs w:val="20"/>
              </w:rPr>
            </w:pPr>
            <w:r w:rsidRPr="00F96011">
              <w:rPr>
                <w:i/>
                <w:iCs/>
                <w:sz w:val="20"/>
                <w:szCs w:val="20"/>
              </w:rPr>
              <w:t>Taux produits bois énergie illégaux saisi</w:t>
            </w:r>
          </w:p>
        </w:tc>
        <w:tc>
          <w:tcPr>
            <w:tcW w:w="2032" w:type="pct"/>
            <w:tcBorders>
              <w:top w:val="nil"/>
              <w:left w:val="nil"/>
              <w:bottom w:val="single" w:sz="4" w:space="0" w:color="auto"/>
              <w:right w:val="single" w:sz="4" w:space="0" w:color="auto"/>
            </w:tcBorders>
            <w:hideMark/>
          </w:tcPr>
          <w:p w14:paraId="16F78CEA" w14:textId="1BF9C331" w:rsidR="00F96011" w:rsidRPr="00F96011" w:rsidRDefault="00F96011" w:rsidP="008A6B56">
            <w:pPr>
              <w:spacing w:line="240" w:lineRule="auto"/>
              <w:jc w:val="both"/>
              <w:rPr>
                <w:i/>
                <w:iCs/>
                <w:sz w:val="20"/>
                <w:szCs w:val="20"/>
              </w:rPr>
            </w:pPr>
            <w:r w:rsidRPr="00F96011">
              <w:rPr>
                <w:i/>
                <w:iCs/>
                <w:sz w:val="20"/>
                <w:szCs w:val="20"/>
              </w:rPr>
              <w:t xml:space="preserve">= Quantité totale </w:t>
            </w:r>
            <w:r w:rsidR="00CA2AC7">
              <w:rPr>
                <w:i/>
                <w:iCs/>
                <w:sz w:val="20"/>
                <w:szCs w:val="20"/>
              </w:rPr>
              <w:t>bois énergie</w:t>
            </w:r>
            <w:r w:rsidRPr="00F96011">
              <w:rPr>
                <w:i/>
                <w:iCs/>
                <w:sz w:val="20"/>
                <w:szCs w:val="20"/>
              </w:rPr>
              <w:t xml:space="preserve"> illicite saisi / Quantité de bois énergie produit * 100</w:t>
            </w:r>
          </w:p>
        </w:tc>
      </w:tr>
      <w:tr w:rsidR="00F96011" w:rsidRPr="00F96011" w14:paraId="5B1B972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0E8CB1D"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DC509F4" w14:textId="2CD2D56F" w:rsidR="00F96011" w:rsidRPr="00F96011" w:rsidRDefault="00DB0B2E" w:rsidP="008A6B56">
            <w:pPr>
              <w:spacing w:line="240" w:lineRule="auto"/>
            </w:pPr>
            <w:r>
              <w:t>K</w:t>
            </w:r>
            <w:r w:rsidR="00F96011" w:rsidRPr="00F96011">
              <w:t>g</w:t>
            </w:r>
          </w:p>
        </w:tc>
      </w:tr>
      <w:tr w:rsidR="00F96011" w:rsidRPr="00F96011" w14:paraId="754EEF1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C819D63"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237FB4FC" w14:textId="77777777" w:rsidR="00F96011" w:rsidRPr="00F96011" w:rsidRDefault="00F96011" w:rsidP="008A6B56">
            <w:pPr>
              <w:spacing w:line="240" w:lineRule="auto"/>
            </w:pPr>
            <w:r w:rsidRPr="00F96011">
              <w:t>Chaque année</w:t>
            </w:r>
          </w:p>
        </w:tc>
      </w:tr>
      <w:tr w:rsidR="00F96011" w:rsidRPr="00F96011" w14:paraId="7DAFE8D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037A431"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21A2CD6F"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cette même année.</w:t>
            </w:r>
          </w:p>
        </w:tc>
      </w:tr>
      <w:tr w:rsidR="00F96011" w:rsidRPr="00F96011" w14:paraId="2EE633E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085B323"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43636EF" w14:textId="77777777" w:rsidR="00F96011" w:rsidRPr="00F96011" w:rsidRDefault="00F96011" w:rsidP="008A6B56">
            <w:pPr>
              <w:spacing w:line="240" w:lineRule="auto"/>
            </w:pPr>
            <w:r w:rsidRPr="00F96011">
              <w:t>Assez bonne</w:t>
            </w:r>
          </w:p>
        </w:tc>
      </w:tr>
    </w:tbl>
    <w:p w14:paraId="663E15CD" w14:textId="42A9C46E" w:rsidR="0013533D" w:rsidRDefault="0013533D" w:rsidP="008A6B56">
      <w:pPr>
        <w:spacing w:line="240" w:lineRule="auto"/>
        <w:rPr>
          <w:rFonts w:ascii="Calibri" w:eastAsia="Calibri" w:hAnsi="Calibri" w:cs="Times New Roman"/>
          <w:color w:val="FF0000"/>
        </w:rPr>
      </w:pPr>
    </w:p>
    <w:p w14:paraId="05E17B7E"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3D5BE1BF"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C5E0B3"/>
            <w:hideMark/>
          </w:tcPr>
          <w:p w14:paraId="76D7516E" w14:textId="77777777" w:rsidR="00F96011" w:rsidRPr="00A92FDE" w:rsidRDefault="00F96011" w:rsidP="008A6B56">
            <w:pPr>
              <w:spacing w:line="240" w:lineRule="auto"/>
              <w:rPr>
                <w:b/>
                <w:bCs/>
              </w:rPr>
            </w:pPr>
            <w:r w:rsidRPr="00A92FDE">
              <w:rPr>
                <w:b/>
                <w:bCs/>
              </w:rPr>
              <w:lastRenderedPageBreak/>
              <w:t>Fiche N° 13</w:t>
            </w:r>
          </w:p>
        </w:tc>
      </w:tr>
      <w:tr w:rsidR="00F96011" w:rsidRPr="00F96011" w14:paraId="363C9559"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C5E0B3"/>
            <w:hideMark/>
          </w:tcPr>
          <w:p w14:paraId="08F02EBD" w14:textId="76B6AA7A" w:rsidR="00F96011" w:rsidRPr="00F96011" w:rsidRDefault="00F96011" w:rsidP="008A6B56">
            <w:pPr>
              <w:spacing w:line="240" w:lineRule="auto"/>
              <w:rPr>
                <w:b/>
                <w:bCs/>
              </w:rPr>
            </w:pPr>
            <w:r w:rsidRPr="00F96011">
              <w:t xml:space="preserve">Transport et commercialisation de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E2EFD9"/>
            <w:hideMark/>
          </w:tcPr>
          <w:p w14:paraId="013DADAE" w14:textId="1BD5817A" w:rsidR="00F96011" w:rsidRPr="00F96011" w:rsidRDefault="00F96011" w:rsidP="008A6B56">
            <w:pPr>
              <w:pStyle w:val="Titre2"/>
              <w:spacing w:line="240" w:lineRule="auto"/>
              <w:outlineLvl w:val="1"/>
            </w:pPr>
            <w:bookmarkStart w:id="22" w:name="_Toc75162461"/>
            <w:r w:rsidRPr="00F96011">
              <w:t xml:space="preserve">Quantité des </w:t>
            </w:r>
            <w:r w:rsidR="00CA2AC7">
              <w:t xml:space="preserve">différents types de </w:t>
            </w:r>
            <w:r w:rsidRPr="00F96011">
              <w:t>produits bois énergie en circulation</w:t>
            </w:r>
            <w:bookmarkEnd w:id="22"/>
          </w:p>
        </w:tc>
      </w:tr>
      <w:tr w:rsidR="00F96011" w:rsidRPr="00F96011" w14:paraId="5AC26A4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D3A4675"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4FADD49D" w14:textId="5D6B1BB4" w:rsidR="00F96011" w:rsidRPr="00F96011" w:rsidRDefault="00F96011" w:rsidP="008A6B56">
            <w:pPr>
              <w:autoSpaceDE w:val="0"/>
              <w:autoSpaceDN w:val="0"/>
              <w:adjustRightInd w:val="0"/>
              <w:spacing w:line="240" w:lineRule="auto"/>
              <w:jc w:val="both"/>
              <w:rPr>
                <w:rFonts w:ascii="ArialMT" w:hAnsi="ArialMT" w:cs="ArialMT"/>
                <w:sz w:val="16"/>
                <w:szCs w:val="16"/>
              </w:rPr>
            </w:pPr>
            <w:r w:rsidRPr="00F96011">
              <w:t xml:space="preserve">Il s’agit de retracer l’origine des produits bois énergie acheminés par différents types transport ainsi que sa destination. L’objectif est de vérifier si le transport et circulation de produits </w:t>
            </w:r>
            <w:r w:rsidR="00CA2AC7">
              <w:t>bois énergie</w:t>
            </w:r>
            <w:r w:rsidRPr="00F96011">
              <w:t xml:space="preserve"> est en règle par le système de contrôle par présentation de documents justificatifs et certifiée par une les autorités compétentes.</w:t>
            </w:r>
          </w:p>
        </w:tc>
      </w:tr>
      <w:tr w:rsidR="00F96011" w:rsidRPr="00F96011" w14:paraId="58DE3C0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F73ADBC"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43DCE8E0" w14:textId="77777777" w:rsidR="00F96011" w:rsidRPr="00F96011" w:rsidRDefault="00F96011" w:rsidP="008A6B56">
            <w:pPr>
              <w:spacing w:line="240" w:lineRule="auto"/>
            </w:pPr>
            <w:r w:rsidRPr="00F96011">
              <w:t xml:space="preserve">- Quantité bois de chauffe en circulation </w:t>
            </w:r>
          </w:p>
          <w:p w14:paraId="0CDEC2A7" w14:textId="77777777" w:rsidR="00F96011" w:rsidRPr="00F96011" w:rsidRDefault="00F96011" w:rsidP="008A6B56">
            <w:pPr>
              <w:spacing w:line="240" w:lineRule="auto"/>
              <w:jc w:val="both"/>
            </w:pPr>
            <w:r w:rsidRPr="00F96011">
              <w:t xml:space="preserve">- Quantité charbon de bois en circulation </w:t>
            </w:r>
          </w:p>
        </w:tc>
      </w:tr>
      <w:tr w:rsidR="00F96011" w:rsidRPr="00F96011" w14:paraId="3C0D0D9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0B11388"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04473D73" w14:textId="77777777" w:rsidR="00F96011" w:rsidRPr="00F96011" w:rsidRDefault="00F96011" w:rsidP="008A6B56">
            <w:pPr>
              <w:spacing w:line="240" w:lineRule="auto"/>
              <w:rPr>
                <w:i/>
                <w:iCs/>
              </w:rPr>
            </w:pPr>
            <w:r w:rsidRPr="00F96011">
              <w:rPr>
                <w:i/>
                <w:iCs/>
              </w:rPr>
              <w:t>Fiche d’enquête barrière</w:t>
            </w:r>
          </w:p>
        </w:tc>
      </w:tr>
      <w:tr w:rsidR="00F96011" w:rsidRPr="00F96011" w14:paraId="2176807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BD019A6"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5974D86F" w14:textId="77777777" w:rsidR="00F96011" w:rsidRPr="00F96011" w:rsidRDefault="00F96011" w:rsidP="008A6B56">
            <w:pPr>
              <w:spacing w:line="240" w:lineRule="auto"/>
              <w:jc w:val="both"/>
            </w:pPr>
            <w:r w:rsidRPr="00F96011">
              <w:t>- Existence de laissez-passer paraphé par le service chargé de forêt</w:t>
            </w:r>
          </w:p>
          <w:p w14:paraId="72A00013" w14:textId="77777777" w:rsidR="00F96011" w:rsidRPr="00F96011" w:rsidRDefault="00F96011" w:rsidP="008A6B56">
            <w:pPr>
              <w:spacing w:line="240" w:lineRule="auto"/>
              <w:jc w:val="both"/>
            </w:pPr>
            <w:r w:rsidRPr="00F96011">
              <w:t xml:space="preserve">- Quittance de paiement de ristourne </w:t>
            </w:r>
          </w:p>
          <w:p w14:paraId="7F2FCC5D" w14:textId="77777777" w:rsidR="00F96011" w:rsidRPr="00F96011" w:rsidRDefault="00F96011" w:rsidP="008A6B56">
            <w:pPr>
              <w:spacing w:line="240" w:lineRule="auto"/>
              <w:jc w:val="both"/>
            </w:pPr>
            <w:r w:rsidRPr="00F96011">
              <w:t xml:space="preserve">- Formation de prélèvement de matières premières </w:t>
            </w:r>
          </w:p>
          <w:p w14:paraId="67C0088A" w14:textId="77777777" w:rsidR="00F96011" w:rsidRPr="00F96011" w:rsidRDefault="00F96011" w:rsidP="008A6B56">
            <w:pPr>
              <w:spacing w:line="240" w:lineRule="auto"/>
              <w:jc w:val="both"/>
            </w:pPr>
            <w:r w:rsidRPr="00F96011">
              <w:t>- Quantité de bois de chauffe transporté</w:t>
            </w:r>
          </w:p>
          <w:p w14:paraId="4D14809B" w14:textId="03691678" w:rsidR="00F96011" w:rsidRPr="00F96011" w:rsidRDefault="00F96011" w:rsidP="008A6B56">
            <w:pPr>
              <w:spacing w:line="240" w:lineRule="auto"/>
              <w:jc w:val="both"/>
            </w:pPr>
            <w:r w:rsidRPr="00F96011">
              <w:t xml:space="preserve">- Quantité de charbon </w:t>
            </w:r>
            <w:r w:rsidR="00CA2AC7">
              <w:t xml:space="preserve">de bois </w:t>
            </w:r>
            <w:r w:rsidRPr="00F96011">
              <w:t>transporté</w:t>
            </w:r>
          </w:p>
          <w:p w14:paraId="2696986C" w14:textId="77777777" w:rsidR="00F96011" w:rsidRPr="00F96011" w:rsidRDefault="00F96011" w:rsidP="008A6B56">
            <w:pPr>
              <w:spacing w:line="240" w:lineRule="auto"/>
              <w:jc w:val="both"/>
            </w:pPr>
            <w:r w:rsidRPr="00F96011">
              <w:t>- District de provenance</w:t>
            </w:r>
          </w:p>
          <w:p w14:paraId="7A62201A" w14:textId="77777777" w:rsidR="00F96011" w:rsidRPr="00F96011" w:rsidRDefault="00F96011" w:rsidP="008A6B56">
            <w:pPr>
              <w:spacing w:line="240" w:lineRule="auto"/>
              <w:jc w:val="both"/>
            </w:pPr>
            <w:r w:rsidRPr="00F96011">
              <w:t>- District de destination</w:t>
            </w:r>
          </w:p>
        </w:tc>
      </w:tr>
      <w:tr w:rsidR="00F96011" w:rsidRPr="00F96011" w14:paraId="68C13DE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A2BAC0C"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58743F7F" w14:textId="77777777" w:rsidR="00F96011" w:rsidRPr="00F96011" w:rsidRDefault="00F96011" w:rsidP="008A6B56">
            <w:pPr>
              <w:spacing w:line="240" w:lineRule="auto"/>
              <w:jc w:val="both"/>
            </w:pPr>
            <w:r w:rsidRPr="00F96011">
              <w:t xml:space="preserve">Par contrôle barrière </w:t>
            </w:r>
          </w:p>
          <w:p w14:paraId="76DBC92A" w14:textId="6720CF05" w:rsidR="00F96011" w:rsidRPr="00F96011" w:rsidRDefault="00F96011" w:rsidP="008A6B56">
            <w:pPr>
              <w:spacing w:line="240" w:lineRule="auto"/>
              <w:jc w:val="both"/>
            </w:pPr>
            <w:r w:rsidRPr="00F96011">
              <w:t>Il prime pour cet indicateur une organisation préalable des enquêtes sur le flux de bois énergie. Ce qui nécessite une définition en avance de l’identification des points d’installation des barrières, la préparation de la logistique d’enquête, l’élaboration de protocole de collaboration avec les différents partenaires concernés. Ensuite la formation de l’équipe d’enquête participante sur l’objectif et technique de collecte d’informations. Une coordination des enquêtes doit être mise en place surtout sur l’organisation de l’équipe et de la supervision. La collecte des informations se fait par le biais des enquêtes exhaustives de tous les moyens de transport de bois énergie.</w:t>
            </w:r>
          </w:p>
        </w:tc>
      </w:tr>
      <w:tr w:rsidR="00F96011" w:rsidRPr="00F96011" w14:paraId="592E20D1" w14:textId="77777777" w:rsidTr="00F96011">
        <w:trPr>
          <w:trHeight w:val="310"/>
        </w:trPr>
        <w:tc>
          <w:tcPr>
            <w:tcW w:w="1014" w:type="pct"/>
            <w:vMerge w:val="restart"/>
            <w:tcBorders>
              <w:top w:val="single" w:sz="4" w:space="0" w:color="auto"/>
              <w:left w:val="single" w:sz="4" w:space="0" w:color="auto"/>
              <w:bottom w:val="single" w:sz="4" w:space="0" w:color="auto"/>
              <w:right w:val="single" w:sz="4" w:space="0" w:color="auto"/>
            </w:tcBorders>
            <w:hideMark/>
          </w:tcPr>
          <w:p w14:paraId="586FB0B0"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4FDA2282" w14:textId="77777777" w:rsidR="00F96011" w:rsidRPr="00F96011" w:rsidRDefault="00F96011" w:rsidP="008A6B56">
            <w:pPr>
              <w:spacing w:line="240" w:lineRule="auto"/>
              <w:jc w:val="right"/>
              <w:rPr>
                <w:i/>
                <w:iCs/>
                <w:sz w:val="20"/>
                <w:szCs w:val="20"/>
              </w:rPr>
            </w:pPr>
            <w:r w:rsidRPr="00F96011">
              <w:rPr>
                <w:i/>
                <w:iCs/>
                <w:sz w:val="20"/>
                <w:szCs w:val="20"/>
              </w:rPr>
              <w:t xml:space="preserve">Quantité de produits avec les mêmes Districts de provenance et ceux de destination </w:t>
            </w:r>
          </w:p>
        </w:tc>
        <w:tc>
          <w:tcPr>
            <w:tcW w:w="1993" w:type="pct"/>
            <w:tcBorders>
              <w:top w:val="single" w:sz="4" w:space="0" w:color="auto"/>
              <w:left w:val="nil"/>
              <w:bottom w:val="nil"/>
              <w:right w:val="single" w:sz="4" w:space="0" w:color="auto"/>
            </w:tcBorders>
          </w:tcPr>
          <w:p w14:paraId="7E6AB582" w14:textId="77777777" w:rsidR="00F96011" w:rsidRPr="00F96011" w:rsidRDefault="00F96011" w:rsidP="008A6B56">
            <w:pPr>
              <w:spacing w:line="240" w:lineRule="auto"/>
              <w:rPr>
                <w:i/>
                <w:iCs/>
                <w:sz w:val="20"/>
                <w:szCs w:val="20"/>
              </w:rPr>
            </w:pPr>
            <w:r w:rsidRPr="00F96011">
              <w:rPr>
                <w:i/>
                <w:iCs/>
                <w:sz w:val="20"/>
                <w:szCs w:val="20"/>
              </w:rPr>
              <w:t>= Somme des quantités de produits de même provenance et destination par district par an</w:t>
            </w:r>
          </w:p>
          <w:p w14:paraId="5EC225B9" w14:textId="77777777" w:rsidR="00F96011" w:rsidRPr="00F96011" w:rsidRDefault="00F96011" w:rsidP="008A6B56">
            <w:pPr>
              <w:spacing w:line="240" w:lineRule="auto"/>
              <w:rPr>
                <w:i/>
                <w:iCs/>
                <w:sz w:val="20"/>
                <w:szCs w:val="20"/>
              </w:rPr>
            </w:pPr>
          </w:p>
        </w:tc>
      </w:tr>
      <w:tr w:rsidR="00F96011" w:rsidRPr="00F96011" w14:paraId="0B497E31" w14:textId="77777777" w:rsidTr="00F96011">
        <w:trPr>
          <w:trHeight w:val="3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ADE05E"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7E856C4F" w14:textId="77777777" w:rsidR="00F96011" w:rsidRPr="00F96011" w:rsidRDefault="00F96011" w:rsidP="008A6B56">
            <w:pPr>
              <w:spacing w:line="240" w:lineRule="auto"/>
              <w:jc w:val="right"/>
              <w:rPr>
                <w:i/>
                <w:iCs/>
                <w:sz w:val="20"/>
                <w:szCs w:val="20"/>
              </w:rPr>
            </w:pPr>
            <w:r w:rsidRPr="00F96011">
              <w:rPr>
                <w:i/>
                <w:iCs/>
                <w:sz w:val="20"/>
                <w:szCs w:val="20"/>
              </w:rPr>
              <w:t xml:space="preserve">Quantité de produits avec les mêmes Régions de provenance et celles de destination </w:t>
            </w:r>
          </w:p>
        </w:tc>
        <w:tc>
          <w:tcPr>
            <w:tcW w:w="1993" w:type="pct"/>
            <w:tcBorders>
              <w:top w:val="nil"/>
              <w:left w:val="nil"/>
              <w:bottom w:val="single" w:sz="4" w:space="0" w:color="auto"/>
              <w:right w:val="single" w:sz="4" w:space="0" w:color="auto"/>
            </w:tcBorders>
            <w:hideMark/>
          </w:tcPr>
          <w:p w14:paraId="5F98FDB2" w14:textId="77777777" w:rsidR="00F96011" w:rsidRPr="00F96011" w:rsidRDefault="00F96011" w:rsidP="008A6B56">
            <w:pPr>
              <w:spacing w:line="240" w:lineRule="auto"/>
              <w:rPr>
                <w:i/>
                <w:iCs/>
                <w:sz w:val="20"/>
                <w:szCs w:val="20"/>
              </w:rPr>
            </w:pPr>
            <w:r w:rsidRPr="00F96011">
              <w:rPr>
                <w:i/>
                <w:iCs/>
                <w:sz w:val="20"/>
                <w:szCs w:val="20"/>
              </w:rPr>
              <w:t>= Somme des quantités de produits de même provenance et destination par Région par an</w:t>
            </w:r>
          </w:p>
        </w:tc>
      </w:tr>
      <w:tr w:rsidR="00F96011" w:rsidRPr="00F96011" w14:paraId="677998DC"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D7AE031"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DF768BB" w14:textId="77777777" w:rsidR="00F96011" w:rsidRPr="00F96011" w:rsidRDefault="00F96011" w:rsidP="008A6B56">
            <w:pPr>
              <w:spacing w:line="240" w:lineRule="auto"/>
            </w:pPr>
            <w:r w:rsidRPr="00F96011">
              <w:t>Kg</w:t>
            </w:r>
          </w:p>
        </w:tc>
      </w:tr>
      <w:tr w:rsidR="00F96011" w:rsidRPr="00F96011" w14:paraId="667FDA1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EEA2256"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37342518" w14:textId="77777777" w:rsidR="00F96011" w:rsidRPr="00F96011" w:rsidRDefault="00F96011" w:rsidP="008A6B56">
            <w:pPr>
              <w:spacing w:line="240" w:lineRule="auto"/>
            </w:pPr>
            <w:r w:rsidRPr="00F96011">
              <w:t>Chaque année</w:t>
            </w:r>
          </w:p>
        </w:tc>
      </w:tr>
      <w:tr w:rsidR="00F96011" w:rsidRPr="00F96011" w14:paraId="63C1EBD8"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1DF86EA"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0747ACEE"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3048DDC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1819EF4"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4BBB62F" w14:textId="77777777" w:rsidR="00F96011" w:rsidRPr="00F96011" w:rsidRDefault="00F96011" w:rsidP="008A6B56">
            <w:pPr>
              <w:spacing w:line="240" w:lineRule="auto"/>
            </w:pPr>
            <w:r w:rsidRPr="00F96011">
              <w:t>Assez bonne</w:t>
            </w:r>
          </w:p>
        </w:tc>
      </w:tr>
    </w:tbl>
    <w:p w14:paraId="12069A96"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5F156E1C"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F7CAAC"/>
            <w:hideMark/>
          </w:tcPr>
          <w:p w14:paraId="3BFC74B1" w14:textId="77777777" w:rsidR="00F96011" w:rsidRPr="00A92FDE" w:rsidRDefault="00F96011" w:rsidP="008A6B56">
            <w:pPr>
              <w:spacing w:line="240" w:lineRule="auto"/>
              <w:rPr>
                <w:b/>
                <w:bCs/>
              </w:rPr>
            </w:pPr>
            <w:r w:rsidRPr="00A92FDE">
              <w:rPr>
                <w:b/>
                <w:bCs/>
              </w:rPr>
              <w:lastRenderedPageBreak/>
              <w:t>Fiche N° 14</w:t>
            </w:r>
          </w:p>
        </w:tc>
      </w:tr>
      <w:tr w:rsidR="00F96011" w:rsidRPr="00F96011" w14:paraId="50DCD4B0"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F7CAAC"/>
            <w:hideMark/>
          </w:tcPr>
          <w:p w14:paraId="542E10C5" w14:textId="77777777" w:rsidR="00F96011" w:rsidRPr="00F96011" w:rsidRDefault="00F96011" w:rsidP="008A6B56">
            <w:pPr>
              <w:spacing w:line="240" w:lineRule="auto"/>
              <w:rPr>
                <w:b/>
                <w:bCs/>
              </w:rPr>
            </w:pPr>
            <w:r w:rsidRPr="00F96011">
              <w:t>Utilisation des équipements de cuisson</w:t>
            </w:r>
          </w:p>
        </w:tc>
        <w:tc>
          <w:tcPr>
            <w:tcW w:w="2578" w:type="pct"/>
            <w:gridSpan w:val="2"/>
            <w:tcBorders>
              <w:top w:val="single" w:sz="4" w:space="0" w:color="auto"/>
              <w:left w:val="single" w:sz="4" w:space="0" w:color="auto"/>
              <w:bottom w:val="single" w:sz="4" w:space="0" w:color="auto"/>
              <w:right w:val="single" w:sz="4" w:space="0" w:color="auto"/>
            </w:tcBorders>
            <w:shd w:val="clear" w:color="auto" w:fill="FBE4D5"/>
            <w:hideMark/>
          </w:tcPr>
          <w:p w14:paraId="0646454A" w14:textId="353C9CCC" w:rsidR="00F96011" w:rsidRPr="00F96011" w:rsidRDefault="00F96011" w:rsidP="008A6B56">
            <w:pPr>
              <w:pStyle w:val="Titre2"/>
              <w:spacing w:line="240" w:lineRule="auto"/>
              <w:outlineLvl w:val="1"/>
              <w:rPr>
                <w:color w:val="FF0000"/>
              </w:rPr>
            </w:pPr>
            <w:bookmarkStart w:id="23" w:name="_Toc75162462"/>
            <w:r w:rsidRPr="00F96011">
              <w:t xml:space="preserve">Taux moyen d’utilisation </w:t>
            </w:r>
            <w:r w:rsidR="00670132">
              <w:t xml:space="preserve">des différents types </w:t>
            </w:r>
            <w:r w:rsidRPr="00F96011">
              <w:t>d’équipement de cuisson</w:t>
            </w:r>
            <w:bookmarkEnd w:id="23"/>
            <w:r w:rsidRPr="00F96011">
              <w:t xml:space="preserve"> </w:t>
            </w:r>
          </w:p>
        </w:tc>
      </w:tr>
      <w:tr w:rsidR="00F96011" w:rsidRPr="00F96011" w14:paraId="6D29825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2D8559B"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0058E3D8" w14:textId="4BD82D18" w:rsidR="00F96011" w:rsidRPr="00F96011" w:rsidRDefault="00F96011" w:rsidP="008A6B56">
            <w:pPr>
              <w:spacing w:line="240" w:lineRule="auto"/>
              <w:jc w:val="both"/>
            </w:pPr>
            <w:r w:rsidRPr="00F96011">
              <w:t xml:space="preserve">Indicateur qui montre l’adoption de différents </w:t>
            </w:r>
            <w:r w:rsidR="00670132">
              <w:t>types d’</w:t>
            </w:r>
            <w:r w:rsidRPr="00F96011">
              <w:t xml:space="preserve">équipements selon l’énergie de cuisson utilisée. </w:t>
            </w:r>
          </w:p>
        </w:tc>
      </w:tr>
      <w:tr w:rsidR="00F96011" w:rsidRPr="00F96011" w14:paraId="2A1EBCA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C7A88F7"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33E564E4" w14:textId="77777777" w:rsidR="00F96011" w:rsidRPr="00F96011" w:rsidRDefault="00F96011" w:rsidP="008A6B56">
            <w:pPr>
              <w:spacing w:line="240" w:lineRule="auto"/>
              <w:rPr>
                <w:color w:val="000000"/>
              </w:rPr>
            </w:pPr>
            <w:r w:rsidRPr="00F96011">
              <w:rPr>
                <w:color w:val="000000"/>
              </w:rPr>
              <w:t>- % utilisateurs d’équipement de cuisson (ménage et gros consommateur)</w:t>
            </w:r>
          </w:p>
          <w:p w14:paraId="025C4DBB" w14:textId="77777777" w:rsidR="00F96011" w:rsidRPr="00F96011" w:rsidRDefault="00F96011" w:rsidP="008A6B56">
            <w:pPr>
              <w:spacing w:line="240" w:lineRule="auto"/>
            </w:pPr>
            <w:r w:rsidRPr="00F96011">
              <w:t xml:space="preserve">- % ménages / gros consommateur souhaitant acquérir de nouveaux équipements </w:t>
            </w:r>
          </w:p>
        </w:tc>
      </w:tr>
      <w:tr w:rsidR="00F96011" w:rsidRPr="00F96011" w14:paraId="63FD23CD"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8390619"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3EABE857" w14:textId="77777777" w:rsidR="00F96011" w:rsidRPr="00F96011" w:rsidRDefault="00F96011" w:rsidP="008A6B56">
            <w:pPr>
              <w:spacing w:line="240" w:lineRule="auto"/>
              <w:jc w:val="both"/>
              <w:rPr>
                <w:i/>
                <w:iCs/>
                <w:color w:val="000000"/>
              </w:rPr>
            </w:pPr>
            <w:r w:rsidRPr="00F96011">
              <w:rPr>
                <w:i/>
                <w:iCs/>
                <w:color w:val="000000"/>
              </w:rPr>
              <w:t>Fiche d’enquête consommateurs</w:t>
            </w:r>
          </w:p>
        </w:tc>
      </w:tr>
      <w:tr w:rsidR="00F96011" w:rsidRPr="00F96011" w14:paraId="68B9C3F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1535348"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74AEA288" w14:textId="77777777" w:rsidR="00F96011" w:rsidRPr="00F96011" w:rsidRDefault="00F96011" w:rsidP="008A6B56">
            <w:pPr>
              <w:spacing w:line="240" w:lineRule="auto"/>
              <w:jc w:val="both"/>
            </w:pPr>
            <w:r w:rsidRPr="00F96011">
              <w:t xml:space="preserve">- Type d’énergie utilisée </w:t>
            </w:r>
          </w:p>
          <w:p w14:paraId="6A9E3025" w14:textId="77777777" w:rsidR="00F96011" w:rsidRPr="00F96011" w:rsidRDefault="00F96011" w:rsidP="008A6B56">
            <w:pPr>
              <w:spacing w:line="240" w:lineRule="auto"/>
              <w:jc w:val="both"/>
            </w:pPr>
            <w:r w:rsidRPr="00F96011">
              <w:t xml:space="preserve">- Type d’équipement utilisé </w:t>
            </w:r>
          </w:p>
          <w:p w14:paraId="51A9E0AB" w14:textId="77777777" w:rsidR="00F96011" w:rsidRPr="00F96011" w:rsidRDefault="00F96011" w:rsidP="008A6B56">
            <w:pPr>
              <w:spacing w:line="240" w:lineRule="auto"/>
              <w:jc w:val="both"/>
            </w:pPr>
            <w:r w:rsidRPr="00F96011">
              <w:t xml:space="preserve">- Quantité achetée en équipement par ménage </w:t>
            </w:r>
          </w:p>
          <w:p w14:paraId="7D1CE92B" w14:textId="77777777" w:rsidR="00F96011" w:rsidRPr="00F96011" w:rsidRDefault="00F96011" w:rsidP="008A6B56">
            <w:pPr>
              <w:spacing w:line="240" w:lineRule="auto"/>
              <w:jc w:val="both"/>
            </w:pPr>
            <w:r w:rsidRPr="00F96011">
              <w:t>- Quantité achetée en équipement par type de gros consommateur</w:t>
            </w:r>
          </w:p>
          <w:p w14:paraId="592A09C9" w14:textId="77777777" w:rsidR="00F96011" w:rsidRPr="00F96011" w:rsidRDefault="00F96011" w:rsidP="008A6B56">
            <w:pPr>
              <w:spacing w:line="240" w:lineRule="auto"/>
              <w:jc w:val="both"/>
            </w:pPr>
            <w:r w:rsidRPr="00F96011">
              <w:t>- Fréquence de renouvellement d’équipement</w:t>
            </w:r>
          </w:p>
          <w:p w14:paraId="3CC644E7" w14:textId="77777777" w:rsidR="00F96011" w:rsidRPr="00F96011" w:rsidRDefault="00F96011" w:rsidP="008A6B56">
            <w:pPr>
              <w:spacing w:line="240" w:lineRule="auto"/>
            </w:pPr>
            <w:r w:rsidRPr="00F96011">
              <w:t>- Nombre ménage souhaitant acquérir équipement de cuisson autre que traditionnel</w:t>
            </w:r>
          </w:p>
          <w:p w14:paraId="1D4E2671" w14:textId="77777777" w:rsidR="00F96011" w:rsidRPr="00F96011" w:rsidRDefault="00F96011" w:rsidP="008A6B56">
            <w:pPr>
              <w:spacing w:line="240" w:lineRule="auto"/>
            </w:pPr>
            <w:r w:rsidRPr="00F96011">
              <w:t>- Nombre gros consommateurs souhaitant acquérir équipement de cuisson autre que traditionnel</w:t>
            </w:r>
          </w:p>
          <w:p w14:paraId="5A256C54" w14:textId="77777777" w:rsidR="00F96011" w:rsidRPr="00F96011" w:rsidRDefault="00F96011" w:rsidP="008A6B56">
            <w:pPr>
              <w:spacing w:line="240" w:lineRule="auto"/>
              <w:jc w:val="both"/>
            </w:pPr>
            <w:r w:rsidRPr="00F96011">
              <w:t>- Raison de non-utilisation des équipements autres que traditionnels</w:t>
            </w:r>
          </w:p>
        </w:tc>
      </w:tr>
      <w:tr w:rsidR="00F96011" w:rsidRPr="00F96011" w14:paraId="525C614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99F67FE"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7BEBB114" w14:textId="77777777" w:rsidR="00670132" w:rsidRDefault="00670132" w:rsidP="008A6B56">
            <w:pPr>
              <w:spacing w:line="240" w:lineRule="auto"/>
              <w:jc w:val="both"/>
            </w:pPr>
            <w:r>
              <w:t xml:space="preserve">Par enquêtes ménage et gros consommateurs </w:t>
            </w:r>
          </w:p>
          <w:p w14:paraId="1BF540A2" w14:textId="77777777" w:rsidR="00670132" w:rsidRDefault="00670132" w:rsidP="008A6B56">
            <w:pPr>
              <w:spacing w:line="240" w:lineRule="auto"/>
              <w:jc w:val="both"/>
            </w:pPr>
            <w:r>
              <w:t xml:space="preserve">Une formation sommaire des enquêteurs s’impose portant sur les objectifs et techniques de collecte de données afin qu’ils puissent agir avec le minimum de professionnalisme. </w:t>
            </w:r>
          </w:p>
          <w:p w14:paraId="33655AE2" w14:textId="2ABD3DC7" w:rsidR="00F96011" w:rsidRPr="00F96011" w:rsidRDefault="00670132" w:rsidP="008A6B56">
            <w:pPr>
              <w:spacing w:line="240" w:lineRule="auto"/>
              <w:jc w:val="both"/>
            </w:pPr>
            <w:r>
              <w:t>L’identification préalable des cibles, notamment les gros consommateurs sera nécessaire afin d’orienter les échantillonnages adoptés.</w:t>
            </w:r>
          </w:p>
        </w:tc>
      </w:tr>
      <w:tr w:rsidR="00F96011" w:rsidRPr="00F96011" w14:paraId="5A252CA6" w14:textId="77777777" w:rsidTr="00F96011">
        <w:trPr>
          <w:trHeight w:val="240"/>
        </w:trPr>
        <w:tc>
          <w:tcPr>
            <w:tcW w:w="1014" w:type="pct"/>
            <w:vMerge w:val="restart"/>
            <w:tcBorders>
              <w:top w:val="single" w:sz="4" w:space="0" w:color="auto"/>
              <w:left w:val="single" w:sz="4" w:space="0" w:color="auto"/>
              <w:bottom w:val="single" w:sz="4" w:space="0" w:color="auto"/>
              <w:right w:val="single" w:sz="4" w:space="0" w:color="auto"/>
            </w:tcBorders>
            <w:hideMark/>
          </w:tcPr>
          <w:p w14:paraId="3D0BA33A"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0281ACC9" w14:textId="77777777" w:rsidR="00F96011" w:rsidRPr="00F96011" w:rsidRDefault="00F96011" w:rsidP="008A6B56">
            <w:pPr>
              <w:spacing w:line="240" w:lineRule="auto"/>
              <w:jc w:val="right"/>
              <w:rPr>
                <w:i/>
                <w:iCs/>
                <w:sz w:val="20"/>
                <w:szCs w:val="20"/>
              </w:rPr>
            </w:pPr>
            <w:r w:rsidRPr="00F96011">
              <w:rPr>
                <w:i/>
                <w:iCs/>
                <w:sz w:val="20"/>
                <w:szCs w:val="20"/>
              </w:rPr>
              <w:t>Taux moyen d’adoption des différents types d’équipement de cuisson par les ménages dans un District</w:t>
            </w:r>
          </w:p>
        </w:tc>
        <w:tc>
          <w:tcPr>
            <w:tcW w:w="1993" w:type="pct"/>
            <w:tcBorders>
              <w:top w:val="single" w:sz="4" w:space="0" w:color="auto"/>
              <w:left w:val="nil"/>
              <w:bottom w:val="nil"/>
              <w:right w:val="single" w:sz="4" w:space="0" w:color="auto"/>
            </w:tcBorders>
            <w:hideMark/>
          </w:tcPr>
          <w:p w14:paraId="169018A3" w14:textId="020774CD" w:rsidR="00F96011" w:rsidRDefault="00F96011" w:rsidP="008A6B56">
            <w:pPr>
              <w:spacing w:line="240" w:lineRule="auto"/>
              <w:rPr>
                <w:i/>
                <w:iCs/>
                <w:sz w:val="20"/>
                <w:szCs w:val="20"/>
              </w:rPr>
            </w:pPr>
            <w:r w:rsidRPr="00F96011">
              <w:rPr>
                <w:i/>
                <w:iCs/>
                <w:sz w:val="20"/>
                <w:szCs w:val="20"/>
              </w:rPr>
              <w:t>= Nombre de ménages par type d’équipement de cuisson utilisé * 100 / nombre total de ménages enquêtés dans le District par an</w:t>
            </w:r>
          </w:p>
          <w:p w14:paraId="73188947" w14:textId="77777777" w:rsidR="00450B96" w:rsidRDefault="00450B96" w:rsidP="008A6B56">
            <w:pPr>
              <w:spacing w:line="240" w:lineRule="auto"/>
              <w:rPr>
                <w:i/>
                <w:iCs/>
                <w:sz w:val="20"/>
                <w:szCs w:val="20"/>
              </w:rPr>
            </w:pPr>
          </w:p>
          <w:p w14:paraId="43CE3DC9" w14:textId="70B2CDDA" w:rsidR="00670132" w:rsidRPr="00F96011" w:rsidRDefault="00670132" w:rsidP="008A6B56">
            <w:pPr>
              <w:spacing w:line="240" w:lineRule="auto"/>
              <w:rPr>
                <w:i/>
                <w:iCs/>
                <w:sz w:val="20"/>
                <w:szCs w:val="20"/>
              </w:rPr>
            </w:pPr>
          </w:p>
        </w:tc>
      </w:tr>
      <w:tr w:rsidR="00F96011" w:rsidRPr="00F96011" w14:paraId="21C1CAB2" w14:textId="77777777" w:rsidTr="00F96011">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2ECAF9"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212D972A" w14:textId="77777777" w:rsidR="00F96011" w:rsidRPr="00F96011" w:rsidRDefault="00F96011" w:rsidP="008A6B56">
            <w:pPr>
              <w:spacing w:line="240" w:lineRule="auto"/>
              <w:jc w:val="right"/>
              <w:rPr>
                <w:i/>
                <w:iCs/>
                <w:sz w:val="20"/>
                <w:szCs w:val="20"/>
              </w:rPr>
            </w:pPr>
            <w:r w:rsidRPr="00F96011">
              <w:rPr>
                <w:i/>
                <w:iCs/>
                <w:sz w:val="20"/>
                <w:szCs w:val="20"/>
              </w:rPr>
              <w:t xml:space="preserve">Taux moyen d’adoption des différents types d’équipement de cuisson par les gros consommateurs dans un District </w:t>
            </w:r>
          </w:p>
        </w:tc>
        <w:tc>
          <w:tcPr>
            <w:tcW w:w="1993" w:type="pct"/>
            <w:tcBorders>
              <w:top w:val="nil"/>
              <w:left w:val="nil"/>
              <w:bottom w:val="nil"/>
              <w:right w:val="single" w:sz="4" w:space="0" w:color="auto"/>
            </w:tcBorders>
            <w:hideMark/>
          </w:tcPr>
          <w:p w14:paraId="7CD13DDD" w14:textId="0F575A77" w:rsidR="00F96011" w:rsidRDefault="00F96011" w:rsidP="008A6B56">
            <w:pPr>
              <w:spacing w:line="240" w:lineRule="auto"/>
              <w:rPr>
                <w:i/>
                <w:iCs/>
                <w:sz w:val="20"/>
                <w:szCs w:val="20"/>
              </w:rPr>
            </w:pPr>
            <w:r w:rsidRPr="00F96011">
              <w:rPr>
                <w:i/>
                <w:iCs/>
                <w:sz w:val="20"/>
                <w:szCs w:val="20"/>
              </w:rPr>
              <w:t>= Nombre de gros consommateurs par type d’équipement de cuisson utilisé * 100 / nombre total de gros consommateurs enquêtés dans le District par an</w:t>
            </w:r>
          </w:p>
          <w:p w14:paraId="25364067" w14:textId="77777777" w:rsidR="00450B96" w:rsidRDefault="00450B96" w:rsidP="008A6B56">
            <w:pPr>
              <w:spacing w:line="240" w:lineRule="auto"/>
              <w:rPr>
                <w:i/>
                <w:iCs/>
                <w:sz w:val="20"/>
                <w:szCs w:val="20"/>
              </w:rPr>
            </w:pPr>
          </w:p>
          <w:p w14:paraId="6D0CDE87" w14:textId="310DE32F" w:rsidR="00670132" w:rsidRPr="00F96011" w:rsidRDefault="00670132" w:rsidP="008A6B56">
            <w:pPr>
              <w:spacing w:line="240" w:lineRule="auto"/>
              <w:rPr>
                <w:i/>
                <w:iCs/>
                <w:sz w:val="20"/>
                <w:szCs w:val="20"/>
              </w:rPr>
            </w:pPr>
          </w:p>
        </w:tc>
      </w:tr>
      <w:tr w:rsidR="00F96011" w:rsidRPr="00F96011" w14:paraId="1C18F279" w14:textId="77777777" w:rsidTr="00F96011">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89C6A3"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1A9628FE" w14:textId="77777777" w:rsidR="00F96011" w:rsidRPr="00F96011" w:rsidRDefault="00F96011" w:rsidP="008A6B56">
            <w:pPr>
              <w:spacing w:line="240" w:lineRule="auto"/>
              <w:jc w:val="right"/>
              <w:rPr>
                <w:i/>
                <w:iCs/>
                <w:sz w:val="20"/>
                <w:szCs w:val="20"/>
              </w:rPr>
            </w:pPr>
            <w:r w:rsidRPr="00F96011">
              <w:rPr>
                <w:i/>
                <w:iCs/>
                <w:sz w:val="20"/>
                <w:szCs w:val="20"/>
              </w:rPr>
              <w:t>Taux de ménages souhaitant acquérir de nouveaux équipements</w:t>
            </w:r>
          </w:p>
        </w:tc>
        <w:tc>
          <w:tcPr>
            <w:tcW w:w="1993" w:type="pct"/>
            <w:tcBorders>
              <w:top w:val="nil"/>
              <w:left w:val="nil"/>
              <w:bottom w:val="nil"/>
              <w:right w:val="single" w:sz="4" w:space="0" w:color="auto"/>
            </w:tcBorders>
            <w:hideMark/>
          </w:tcPr>
          <w:p w14:paraId="505B9B85" w14:textId="2D517999" w:rsidR="00F96011" w:rsidRDefault="00F96011" w:rsidP="008A6B56">
            <w:pPr>
              <w:spacing w:line="240" w:lineRule="auto"/>
              <w:rPr>
                <w:i/>
                <w:iCs/>
                <w:sz w:val="20"/>
                <w:szCs w:val="20"/>
              </w:rPr>
            </w:pPr>
            <w:r w:rsidRPr="00F96011">
              <w:rPr>
                <w:i/>
                <w:iCs/>
                <w:sz w:val="20"/>
                <w:szCs w:val="20"/>
              </w:rPr>
              <w:t>= Nombre ménage souhaitant acquérir équipement de cuisson autre que traditionnel * 100 / nombre total de ménages enquêtés dans le District par an</w:t>
            </w:r>
          </w:p>
          <w:p w14:paraId="29B2B5AE" w14:textId="77777777" w:rsidR="00450B96" w:rsidRDefault="00450B96" w:rsidP="008A6B56">
            <w:pPr>
              <w:spacing w:line="240" w:lineRule="auto"/>
              <w:rPr>
                <w:i/>
                <w:iCs/>
                <w:sz w:val="20"/>
                <w:szCs w:val="20"/>
              </w:rPr>
            </w:pPr>
          </w:p>
          <w:p w14:paraId="0DAF6095" w14:textId="023F458B" w:rsidR="00670132" w:rsidRPr="00F96011" w:rsidRDefault="00670132" w:rsidP="008A6B56">
            <w:pPr>
              <w:spacing w:line="240" w:lineRule="auto"/>
              <w:rPr>
                <w:i/>
                <w:iCs/>
                <w:sz w:val="20"/>
                <w:szCs w:val="20"/>
              </w:rPr>
            </w:pPr>
          </w:p>
        </w:tc>
      </w:tr>
      <w:tr w:rsidR="00F96011" w:rsidRPr="00F96011" w14:paraId="1FD2BDBF" w14:textId="77777777" w:rsidTr="00F96011">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1AC43B"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11E6CEB9" w14:textId="77777777" w:rsidR="00F96011" w:rsidRPr="00F96011" w:rsidRDefault="00F96011" w:rsidP="008A6B56">
            <w:pPr>
              <w:spacing w:line="240" w:lineRule="auto"/>
              <w:jc w:val="right"/>
              <w:rPr>
                <w:i/>
                <w:iCs/>
                <w:sz w:val="20"/>
                <w:szCs w:val="20"/>
              </w:rPr>
            </w:pPr>
            <w:r w:rsidRPr="00F96011">
              <w:rPr>
                <w:i/>
                <w:iCs/>
                <w:sz w:val="20"/>
                <w:szCs w:val="20"/>
              </w:rPr>
              <w:t>Taux de gros consommateur souhaitant acquérir de nouveaux équipements</w:t>
            </w:r>
          </w:p>
        </w:tc>
        <w:tc>
          <w:tcPr>
            <w:tcW w:w="1993" w:type="pct"/>
            <w:tcBorders>
              <w:top w:val="nil"/>
              <w:left w:val="nil"/>
              <w:bottom w:val="single" w:sz="4" w:space="0" w:color="auto"/>
              <w:right w:val="single" w:sz="4" w:space="0" w:color="auto"/>
            </w:tcBorders>
            <w:hideMark/>
          </w:tcPr>
          <w:p w14:paraId="5E954707" w14:textId="77777777" w:rsidR="00F96011" w:rsidRPr="00F96011" w:rsidRDefault="00F96011" w:rsidP="008A6B56">
            <w:pPr>
              <w:spacing w:line="240" w:lineRule="auto"/>
              <w:rPr>
                <w:i/>
                <w:iCs/>
                <w:sz w:val="20"/>
                <w:szCs w:val="20"/>
              </w:rPr>
            </w:pPr>
            <w:r w:rsidRPr="00F96011">
              <w:rPr>
                <w:i/>
                <w:iCs/>
                <w:sz w:val="20"/>
                <w:szCs w:val="20"/>
              </w:rPr>
              <w:t>= Nombre gros consommateur souhaitant acquérir équipement de cuisson autre que traditionnel * 100 / nombre total de gros consommateur enquêtés dans le District par an</w:t>
            </w:r>
          </w:p>
        </w:tc>
      </w:tr>
      <w:tr w:rsidR="00F96011" w:rsidRPr="00F96011" w14:paraId="7BD4F41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2C618EF"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34B76CC8" w14:textId="77777777" w:rsidR="00F96011" w:rsidRPr="00F96011" w:rsidRDefault="00F96011" w:rsidP="008A6B56">
            <w:pPr>
              <w:spacing w:line="240" w:lineRule="auto"/>
            </w:pPr>
            <w:r w:rsidRPr="00F96011">
              <w:t xml:space="preserve">Pourcentage </w:t>
            </w:r>
          </w:p>
        </w:tc>
      </w:tr>
      <w:tr w:rsidR="00F96011" w:rsidRPr="00F96011" w14:paraId="126E347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3A61D55"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6C0183B" w14:textId="77777777" w:rsidR="00F96011" w:rsidRPr="00F96011" w:rsidRDefault="00F96011" w:rsidP="008A6B56">
            <w:pPr>
              <w:spacing w:line="240" w:lineRule="auto"/>
            </w:pPr>
            <w:r w:rsidRPr="00F96011">
              <w:t>Chaque année</w:t>
            </w:r>
          </w:p>
        </w:tc>
      </w:tr>
      <w:tr w:rsidR="00F96011" w:rsidRPr="00F96011" w14:paraId="6C1D1B0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8DEEF47"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0B8E45EC" w14:textId="77777777" w:rsidR="00F96011" w:rsidRPr="00F96011" w:rsidRDefault="00F96011" w:rsidP="008A6B56">
            <w:pPr>
              <w:spacing w:line="240" w:lineRule="auto"/>
              <w:jc w:val="both"/>
            </w:pPr>
            <w:r w:rsidRPr="00F96011">
              <w:t xml:space="preserve">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w:t>
            </w:r>
            <w:r w:rsidRPr="00F96011">
              <w:lastRenderedPageBreak/>
              <w:t>reboisements). Le rapport national établit par le service central en charge des reboisements sera attendu au mois de Décembre de cette même année.</w:t>
            </w:r>
          </w:p>
        </w:tc>
      </w:tr>
      <w:tr w:rsidR="00F96011" w:rsidRPr="00F96011" w14:paraId="3362C2E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3A24FB5" w14:textId="77777777" w:rsidR="00F96011" w:rsidRPr="00F96011" w:rsidRDefault="00F96011" w:rsidP="008A6B56">
            <w:pPr>
              <w:spacing w:line="240" w:lineRule="auto"/>
              <w:rPr>
                <w:b/>
                <w:bCs/>
              </w:rPr>
            </w:pPr>
            <w:r w:rsidRPr="00F96011">
              <w:rPr>
                <w:b/>
                <w:bCs/>
              </w:rPr>
              <w:lastRenderedPageBreak/>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74D891EA" w14:textId="77777777" w:rsidR="00F96011" w:rsidRPr="00F96011" w:rsidRDefault="00F96011" w:rsidP="008A6B56">
            <w:pPr>
              <w:spacing w:line="240" w:lineRule="auto"/>
            </w:pPr>
            <w:r w:rsidRPr="00F96011">
              <w:t>Assez bonne</w:t>
            </w:r>
          </w:p>
        </w:tc>
      </w:tr>
    </w:tbl>
    <w:p w14:paraId="73B8E1FC"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239002D2"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BDD6EE"/>
            <w:hideMark/>
          </w:tcPr>
          <w:p w14:paraId="2697AB36" w14:textId="77777777" w:rsidR="00F96011" w:rsidRPr="00A92FDE" w:rsidRDefault="00F96011" w:rsidP="008A6B56">
            <w:pPr>
              <w:spacing w:line="240" w:lineRule="auto"/>
              <w:rPr>
                <w:b/>
                <w:bCs/>
              </w:rPr>
            </w:pPr>
            <w:r w:rsidRPr="00A92FDE">
              <w:rPr>
                <w:b/>
                <w:bCs/>
              </w:rPr>
              <w:lastRenderedPageBreak/>
              <w:t>Fiche N° 15</w:t>
            </w:r>
          </w:p>
        </w:tc>
      </w:tr>
      <w:tr w:rsidR="00F96011" w:rsidRPr="00F96011" w14:paraId="4906F0FB"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66C901B6" w14:textId="5E4BCF9E" w:rsidR="00F96011" w:rsidRPr="00F96011" w:rsidRDefault="00F96011" w:rsidP="008A6B56">
            <w:pPr>
              <w:spacing w:line="240" w:lineRule="auto"/>
              <w:rPr>
                <w:b/>
                <w:bCs/>
              </w:rPr>
            </w:pPr>
            <w:r w:rsidRPr="00F96011">
              <w:t xml:space="preserve">Consommation en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DEEAF6"/>
            <w:hideMark/>
          </w:tcPr>
          <w:p w14:paraId="485391A3" w14:textId="576134F3" w:rsidR="00F96011" w:rsidRPr="00F96011" w:rsidRDefault="00F96011" w:rsidP="008A6B56">
            <w:pPr>
              <w:pStyle w:val="Titre2"/>
              <w:spacing w:line="240" w:lineRule="auto"/>
              <w:outlineLvl w:val="1"/>
            </w:pPr>
            <w:bookmarkStart w:id="24" w:name="_Toc75162463"/>
            <w:r w:rsidRPr="00F96011">
              <w:t xml:space="preserve">Quantité totale annuelle consommée en </w:t>
            </w:r>
            <w:r w:rsidR="00C76BB3">
              <w:t>bois énergie</w:t>
            </w:r>
            <w:bookmarkEnd w:id="24"/>
          </w:p>
        </w:tc>
      </w:tr>
      <w:tr w:rsidR="00F96011" w:rsidRPr="00F96011" w14:paraId="7A4C178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A57B410"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01A38C5A" w14:textId="78854464" w:rsidR="00F96011" w:rsidRPr="00F96011" w:rsidRDefault="00F96011" w:rsidP="008A6B56">
            <w:pPr>
              <w:spacing w:line="240" w:lineRule="auto"/>
              <w:jc w:val="both"/>
            </w:pPr>
            <w:r w:rsidRPr="00F96011">
              <w:t xml:space="preserve">Il s’agit de connaître les quantités par type de </w:t>
            </w:r>
            <w:r w:rsidR="00C76BB3">
              <w:t>bois énergie</w:t>
            </w:r>
            <w:r w:rsidRPr="00F96011">
              <w:t xml:space="preserve"> consommée par ménage et par type de gros consommateurs.  Aussi, cet indicateur va montrer les taux d’utilisation de bois énergie pour pouvoir estimer la superficie de reboisement et de restauration de forêts naturelles à vocation énergétique nécessaires pour couvrir la consommation.   </w:t>
            </w:r>
          </w:p>
        </w:tc>
      </w:tr>
      <w:tr w:rsidR="00F96011" w:rsidRPr="00F96011" w14:paraId="12AB860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430B200"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6B298257" w14:textId="77777777" w:rsidR="00F96011" w:rsidRPr="00F96011" w:rsidRDefault="00F96011" w:rsidP="008A6B56">
            <w:pPr>
              <w:spacing w:line="240" w:lineRule="auto"/>
              <w:jc w:val="both"/>
            </w:pPr>
            <w:r w:rsidRPr="00F96011">
              <w:t>- Superficie nécessaire pour combler la consommation en bois énergie</w:t>
            </w:r>
          </w:p>
          <w:p w14:paraId="327A235D" w14:textId="77777777" w:rsidR="00F96011" w:rsidRPr="00F96011" w:rsidRDefault="00F96011" w:rsidP="008A6B56">
            <w:pPr>
              <w:spacing w:line="240" w:lineRule="auto"/>
              <w:jc w:val="both"/>
              <w:rPr>
                <w:color w:val="00B050"/>
              </w:rPr>
            </w:pPr>
            <w:r w:rsidRPr="00F96011">
              <w:t>- Taux de prélèvement respectif de bois dans les différentes formations</w:t>
            </w:r>
          </w:p>
        </w:tc>
      </w:tr>
      <w:tr w:rsidR="00F96011" w:rsidRPr="00F96011" w14:paraId="205543E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941427C"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37A072A1" w14:textId="77777777" w:rsidR="00F96011" w:rsidRPr="00F96011" w:rsidRDefault="00F96011" w:rsidP="008A6B56">
            <w:pPr>
              <w:spacing w:line="240" w:lineRule="auto"/>
              <w:jc w:val="both"/>
              <w:rPr>
                <w:i/>
                <w:iCs/>
              </w:rPr>
            </w:pPr>
            <w:r w:rsidRPr="00F96011">
              <w:rPr>
                <w:i/>
                <w:iCs/>
              </w:rPr>
              <w:t>- Fiche d’enquête consommateurs</w:t>
            </w:r>
          </w:p>
          <w:p w14:paraId="215A4D54" w14:textId="77777777" w:rsidR="00F96011" w:rsidRPr="00F96011" w:rsidRDefault="00F96011" w:rsidP="008A6B56">
            <w:pPr>
              <w:spacing w:line="240" w:lineRule="auto"/>
              <w:jc w:val="both"/>
            </w:pPr>
            <w:r w:rsidRPr="00F96011">
              <w:rPr>
                <w:i/>
                <w:iCs/>
              </w:rPr>
              <w:t>- Fiche d’enquête barrière</w:t>
            </w:r>
          </w:p>
        </w:tc>
      </w:tr>
      <w:tr w:rsidR="00F96011" w:rsidRPr="00F96011" w14:paraId="53F4F15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21A5A66"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480AA2FE" w14:textId="77777777" w:rsidR="00F96011" w:rsidRPr="00F96011" w:rsidRDefault="00F96011" w:rsidP="008A6B56">
            <w:pPr>
              <w:spacing w:line="240" w:lineRule="auto"/>
              <w:jc w:val="both"/>
              <w:rPr>
                <w:color w:val="000000"/>
              </w:rPr>
            </w:pPr>
            <w:r w:rsidRPr="00F96011">
              <w:rPr>
                <w:color w:val="000000"/>
              </w:rPr>
              <w:t>- Nombre de ménages utilisant bois énergie</w:t>
            </w:r>
          </w:p>
          <w:p w14:paraId="5B1BBCFF" w14:textId="77777777" w:rsidR="00F96011" w:rsidRPr="00F96011" w:rsidRDefault="00F96011" w:rsidP="008A6B56">
            <w:pPr>
              <w:spacing w:line="240" w:lineRule="auto"/>
            </w:pPr>
            <w:r w:rsidRPr="00F96011">
              <w:rPr>
                <w:color w:val="000000"/>
              </w:rPr>
              <w:t>- Nombre de gros consommateurs utilisant bois énergie</w:t>
            </w:r>
            <w:r w:rsidRPr="00F96011">
              <w:t xml:space="preserve"> </w:t>
            </w:r>
          </w:p>
          <w:p w14:paraId="522E617F" w14:textId="77777777" w:rsidR="00F96011" w:rsidRPr="00F96011" w:rsidRDefault="00F96011" w:rsidP="008A6B56">
            <w:pPr>
              <w:spacing w:line="240" w:lineRule="auto"/>
            </w:pPr>
            <w:r w:rsidRPr="00F96011">
              <w:t>- Consommation de bois par mois (ménage / Gros consommateur</w:t>
            </w:r>
          </w:p>
          <w:p w14:paraId="585F1D53" w14:textId="77777777" w:rsidR="00F96011" w:rsidRPr="00F96011" w:rsidRDefault="00F96011" w:rsidP="008A6B56">
            <w:pPr>
              <w:spacing w:line="240" w:lineRule="auto"/>
            </w:pPr>
            <w:r w:rsidRPr="00F96011">
              <w:t xml:space="preserve">- Consommation de charbon par mois (ménage / Gros consommateur) </w:t>
            </w:r>
          </w:p>
        </w:tc>
      </w:tr>
      <w:tr w:rsidR="00F96011" w:rsidRPr="00F96011" w14:paraId="2EEE7F0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6DB5791"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7B9A12A0" w14:textId="2C316FEC" w:rsidR="00C0576E" w:rsidRPr="00670132" w:rsidRDefault="00F96011" w:rsidP="008A6B56">
            <w:pPr>
              <w:spacing w:line="240" w:lineRule="auto"/>
              <w:jc w:val="both"/>
            </w:pPr>
            <w:r w:rsidRPr="00F96011">
              <w:t xml:space="preserve">La collecte de données est précédée d’une étude préalable portant sur l’identification du nombre de ménage et recensement des gros consommateurs. Cette étape est suivie de formation des équipes d’enquêtes, </w:t>
            </w:r>
            <w:r w:rsidR="00C0576E" w:rsidRPr="00670132">
              <w:t xml:space="preserve">portant sur les objectifs et techniques de collecte de données afin qu’ils puissent agir avec le minimum de professionnalisme. </w:t>
            </w:r>
          </w:p>
          <w:p w14:paraId="57533A40" w14:textId="60C978F0" w:rsidR="00F96011" w:rsidRPr="00F96011" w:rsidRDefault="00F96011" w:rsidP="008A6B56">
            <w:pPr>
              <w:spacing w:line="240" w:lineRule="auto"/>
              <w:jc w:val="both"/>
            </w:pPr>
            <w:r w:rsidRPr="00F96011">
              <w:t>La collecte d’informations se fait au niveau des ménages et des gros consommateurs.</w:t>
            </w:r>
          </w:p>
        </w:tc>
      </w:tr>
      <w:tr w:rsidR="00F96011" w:rsidRPr="00F96011" w14:paraId="2380185A" w14:textId="77777777" w:rsidTr="00F96011">
        <w:trPr>
          <w:trHeight w:val="480"/>
        </w:trPr>
        <w:tc>
          <w:tcPr>
            <w:tcW w:w="1014" w:type="pct"/>
            <w:vMerge w:val="restart"/>
            <w:tcBorders>
              <w:top w:val="single" w:sz="4" w:space="0" w:color="auto"/>
              <w:left w:val="single" w:sz="4" w:space="0" w:color="auto"/>
              <w:bottom w:val="single" w:sz="4" w:space="0" w:color="auto"/>
              <w:right w:val="single" w:sz="4" w:space="0" w:color="auto"/>
            </w:tcBorders>
            <w:hideMark/>
          </w:tcPr>
          <w:p w14:paraId="0E8CA204"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44301ED6" w14:textId="77777777" w:rsidR="00F96011" w:rsidRPr="00F96011" w:rsidRDefault="00F96011" w:rsidP="008A6B56">
            <w:pPr>
              <w:spacing w:line="240" w:lineRule="auto"/>
              <w:jc w:val="right"/>
              <w:rPr>
                <w:i/>
                <w:iCs/>
                <w:sz w:val="20"/>
                <w:szCs w:val="20"/>
              </w:rPr>
            </w:pPr>
            <w:r w:rsidRPr="00F96011">
              <w:rPr>
                <w:i/>
                <w:iCs/>
                <w:sz w:val="20"/>
                <w:szCs w:val="20"/>
              </w:rPr>
              <w:t xml:space="preserve">Quantité annuelle consommée en bois par ménage (District) </w:t>
            </w:r>
          </w:p>
        </w:tc>
        <w:tc>
          <w:tcPr>
            <w:tcW w:w="1993" w:type="pct"/>
            <w:tcBorders>
              <w:top w:val="single" w:sz="4" w:space="0" w:color="auto"/>
              <w:left w:val="nil"/>
              <w:bottom w:val="nil"/>
              <w:right w:val="single" w:sz="4" w:space="0" w:color="auto"/>
            </w:tcBorders>
          </w:tcPr>
          <w:p w14:paraId="051BD81B" w14:textId="77777777" w:rsidR="00F96011" w:rsidRPr="00F96011" w:rsidRDefault="00F96011" w:rsidP="008A6B56">
            <w:pPr>
              <w:spacing w:line="240" w:lineRule="auto"/>
              <w:rPr>
                <w:i/>
                <w:iCs/>
                <w:sz w:val="20"/>
                <w:szCs w:val="20"/>
              </w:rPr>
            </w:pPr>
            <w:r w:rsidRPr="00F96011">
              <w:rPr>
                <w:i/>
                <w:iCs/>
                <w:sz w:val="20"/>
                <w:szCs w:val="20"/>
              </w:rPr>
              <w:t>= Somme consommation annuelle en bois des ménages par District</w:t>
            </w:r>
          </w:p>
          <w:p w14:paraId="183E278D" w14:textId="77777777" w:rsidR="00F96011" w:rsidRPr="00F96011" w:rsidRDefault="00F96011" w:rsidP="008A6B56">
            <w:pPr>
              <w:spacing w:line="240" w:lineRule="auto"/>
              <w:rPr>
                <w:i/>
                <w:iCs/>
                <w:sz w:val="20"/>
                <w:szCs w:val="20"/>
              </w:rPr>
            </w:pPr>
          </w:p>
        </w:tc>
      </w:tr>
      <w:tr w:rsidR="00F96011" w:rsidRPr="00F96011" w14:paraId="04B91DF1" w14:textId="77777777" w:rsidTr="00F96011">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2FD28"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33268D72" w14:textId="77777777" w:rsidR="00F96011" w:rsidRPr="00F96011" w:rsidRDefault="00F96011" w:rsidP="008A6B56">
            <w:pPr>
              <w:spacing w:line="240" w:lineRule="auto"/>
              <w:jc w:val="right"/>
              <w:rPr>
                <w:i/>
                <w:iCs/>
                <w:sz w:val="20"/>
                <w:szCs w:val="20"/>
              </w:rPr>
            </w:pPr>
            <w:r w:rsidRPr="00F96011">
              <w:rPr>
                <w:i/>
                <w:iCs/>
                <w:sz w:val="20"/>
                <w:szCs w:val="20"/>
              </w:rPr>
              <w:t>Quantité annuelle consommée en bois par gros consommateur (District)</w:t>
            </w:r>
          </w:p>
        </w:tc>
        <w:tc>
          <w:tcPr>
            <w:tcW w:w="1993" w:type="pct"/>
            <w:tcBorders>
              <w:top w:val="nil"/>
              <w:left w:val="nil"/>
              <w:bottom w:val="nil"/>
              <w:right w:val="single" w:sz="4" w:space="0" w:color="auto"/>
            </w:tcBorders>
          </w:tcPr>
          <w:p w14:paraId="690D24CE" w14:textId="77777777" w:rsidR="00F96011" w:rsidRPr="00F96011" w:rsidRDefault="00F96011" w:rsidP="008A6B56">
            <w:pPr>
              <w:spacing w:line="240" w:lineRule="auto"/>
              <w:rPr>
                <w:i/>
                <w:iCs/>
                <w:sz w:val="20"/>
                <w:szCs w:val="20"/>
              </w:rPr>
            </w:pPr>
            <w:r w:rsidRPr="00F96011">
              <w:rPr>
                <w:i/>
                <w:iCs/>
                <w:sz w:val="20"/>
                <w:szCs w:val="20"/>
              </w:rPr>
              <w:t>= Somme consommation annuelle en bois des gros consommateurs par District</w:t>
            </w:r>
          </w:p>
          <w:p w14:paraId="3849DD3C" w14:textId="77777777" w:rsidR="00F96011" w:rsidRPr="00F96011" w:rsidRDefault="00F96011" w:rsidP="008A6B56">
            <w:pPr>
              <w:spacing w:line="240" w:lineRule="auto"/>
              <w:rPr>
                <w:i/>
                <w:iCs/>
                <w:sz w:val="20"/>
                <w:szCs w:val="20"/>
              </w:rPr>
            </w:pPr>
          </w:p>
        </w:tc>
      </w:tr>
      <w:tr w:rsidR="00F96011" w:rsidRPr="00F96011" w14:paraId="162FA29B" w14:textId="77777777" w:rsidTr="00F96011">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BE638B"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tcPr>
          <w:p w14:paraId="3EFD9FCA" w14:textId="77777777" w:rsidR="00F96011" w:rsidRPr="00F96011" w:rsidRDefault="00F96011" w:rsidP="008A6B56">
            <w:pPr>
              <w:spacing w:line="240" w:lineRule="auto"/>
              <w:jc w:val="right"/>
              <w:rPr>
                <w:i/>
                <w:iCs/>
                <w:sz w:val="20"/>
                <w:szCs w:val="20"/>
              </w:rPr>
            </w:pPr>
            <w:r w:rsidRPr="00F96011">
              <w:rPr>
                <w:i/>
                <w:iCs/>
                <w:sz w:val="20"/>
                <w:szCs w:val="20"/>
              </w:rPr>
              <w:t xml:space="preserve">Superficie à reboiser à vocation bois énergie (ha) par District </w:t>
            </w:r>
          </w:p>
          <w:p w14:paraId="22E7EF7C" w14:textId="77777777" w:rsidR="00F96011" w:rsidRPr="00F96011" w:rsidRDefault="00F96011" w:rsidP="008A6B56">
            <w:pPr>
              <w:spacing w:line="240" w:lineRule="auto"/>
              <w:jc w:val="right"/>
              <w:rPr>
                <w:i/>
                <w:iCs/>
                <w:sz w:val="20"/>
                <w:szCs w:val="20"/>
              </w:rPr>
            </w:pPr>
          </w:p>
        </w:tc>
        <w:tc>
          <w:tcPr>
            <w:tcW w:w="1993" w:type="pct"/>
            <w:tcBorders>
              <w:top w:val="nil"/>
              <w:left w:val="nil"/>
              <w:bottom w:val="nil"/>
              <w:right w:val="single" w:sz="4" w:space="0" w:color="auto"/>
            </w:tcBorders>
          </w:tcPr>
          <w:p w14:paraId="36DB3F7D" w14:textId="77777777" w:rsidR="00F96011" w:rsidRPr="00F96011" w:rsidRDefault="00F96011" w:rsidP="008A6B56">
            <w:pPr>
              <w:spacing w:line="240" w:lineRule="auto"/>
              <w:rPr>
                <w:i/>
                <w:iCs/>
                <w:sz w:val="20"/>
                <w:szCs w:val="20"/>
              </w:rPr>
            </w:pPr>
            <w:r w:rsidRPr="00F96011">
              <w:rPr>
                <w:i/>
                <w:iCs/>
                <w:sz w:val="20"/>
                <w:szCs w:val="20"/>
              </w:rPr>
              <w:t>= Quantité totale annuelle de bois énergie consommés</w:t>
            </w:r>
            <w:r w:rsidRPr="00F96011">
              <w:rPr>
                <w:i/>
                <w:iCs/>
                <w:sz w:val="20"/>
                <w:szCs w:val="20"/>
                <w:vertAlign w:val="superscript"/>
              </w:rPr>
              <w:footnoteReference w:id="5"/>
            </w:r>
            <w:r w:rsidRPr="00F96011">
              <w:rPr>
                <w:i/>
                <w:iCs/>
                <w:sz w:val="20"/>
                <w:szCs w:val="20"/>
              </w:rPr>
              <w:t xml:space="preserve"> (kg) /700</w:t>
            </w:r>
            <w:r w:rsidRPr="00F96011">
              <w:rPr>
                <w:i/>
                <w:iCs/>
                <w:sz w:val="20"/>
                <w:szCs w:val="20"/>
                <w:vertAlign w:val="superscript"/>
              </w:rPr>
              <w:footnoteReference w:id="6"/>
            </w:r>
            <w:r w:rsidRPr="00F96011">
              <w:rPr>
                <w:i/>
                <w:iCs/>
                <w:sz w:val="20"/>
                <w:szCs w:val="20"/>
              </w:rPr>
              <w:t xml:space="preserve"> (kg/m</w:t>
            </w:r>
            <w:r w:rsidRPr="00F96011">
              <w:rPr>
                <w:i/>
                <w:iCs/>
                <w:sz w:val="20"/>
                <w:szCs w:val="20"/>
                <w:vertAlign w:val="superscript"/>
              </w:rPr>
              <w:t>3</w:t>
            </w:r>
            <w:r w:rsidRPr="00F96011">
              <w:rPr>
                <w:i/>
                <w:iCs/>
                <w:sz w:val="20"/>
                <w:szCs w:val="20"/>
              </w:rPr>
              <w:t>) / 17,5</w:t>
            </w:r>
            <w:r w:rsidRPr="00F96011">
              <w:rPr>
                <w:i/>
                <w:iCs/>
                <w:sz w:val="20"/>
                <w:szCs w:val="20"/>
                <w:vertAlign w:val="superscript"/>
              </w:rPr>
              <w:footnoteReference w:id="7"/>
            </w:r>
            <w:r w:rsidRPr="00F96011">
              <w:rPr>
                <w:i/>
                <w:iCs/>
                <w:sz w:val="20"/>
                <w:szCs w:val="20"/>
              </w:rPr>
              <w:t xml:space="preserve"> (m</w:t>
            </w:r>
            <w:r w:rsidRPr="00F96011">
              <w:rPr>
                <w:i/>
                <w:iCs/>
                <w:sz w:val="20"/>
                <w:szCs w:val="20"/>
                <w:vertAlign w:val="superscript"/>
              </w:rPr>
              <w:t>3</w:t>
            </w:r>
            <w:r w:rsidRPr="00F96011">
              <w:rPr>
                <w:i/>
                <w:iCs/>
                <w:sz w:val="20"/>
                <w:szCs w:val="20"/>
              </w:rPr>
              <w:t>/ha) * taux de prélèvement dans les reboisements</w:t>
            </w:r>
            <w:r w:rsidRPr="00F96011">
              <w:rPr>
                <w:i/>
                <w:iCs/>
                <w:sz w:val="20"/>
                <w:szCs w:val="20"/>
                <w:vertAlign w:val="superscript"/>
              </w:rPr>
              <w:footnoteReference w:id="8"/>
            </w:r>
            <w:r w:rsidRPr="00F96011">
              <w:rPr>
                <w:i/>
                <w:iCs/>
                <w:sz w:val="20"/>
                <w:szCs w:val="20"/>
              </w:rPr>
              <w:t xml:space="preserve"> par District</w:t>
            </w:r>
          </w:p>
          <w:p w14:paraId="141F7747" w14:textId="77777777" w:rsidR="00F96011" w:rsidRPr="00F96011" w:rsidRDefault="00F96011" w:rsidP="008A6B56">
            <w:pPr>
              <w:spacing w:line="240" w:lineRule="auto"/>
              <w:rPr>
                <w:i/>
                <w:iCs/>
                <w:sz w:val="20"/>
                <w:szCs w:val="20"/>
              </w:rPr>
            </w:pPr>
          </w:p>
        </w:tc>
      </w:tr>
      <w:tr w:rsidR="00F96011" w:rsidRPr="00F96011" w14:paraId="6DCC047C" w14:textId="77777777" w:rsidTr="00F96011">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7DD68C"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429C8237" w14:textId="77777777" w:rsidR="00F96011" w:rsidRPr="00F96011" w:rsidRDefault="00F96011" w:rsidP="008A6B56">
            <w:pPr>
              <w:spacing w:line="240" w:lineRule="auto"/>
              <w:jc w:val="right"/>
              <w:rPr>
                <w:i/>
                <w:iCs/>
                <w:sz w:val="20"/>
                <w:szCs w:val="20"/>
              </w:rPr>
            </w:pPr>
            <w:r w:rsidRPr="00F96011">
              <w:rPr>
                <w:i/>
                <w:iCs/>
                <w:sz w:val="20"/>
                <w:szCs w:val="20"/>
              </w:rPr>
              <w:t xml:space="preserve">Superficie de forêts naturelles à restaurer (ha) par District </w:t>
            </w:r>
          </w:p>
        </w:tc>
        <w:tc>
          <w:tcPr>
            <w:tcW w:w="1993" w:type="pct"/>
            <w:tcBorders>
              <w:top w:val="nil"/>
              <w:left w:val="nil"/>
              <w:bottom w:val="nil"/>
              <w:right w:val="single" w:sz="4" w:space="0" w:color="auto"/>
            </w:tcBorders>
          </w:tcPr>
          <w:p w14:paraId="093C4B28" w14:textId="77777777" w:rsidR="00F96011" w:rsidRPr="00F96011" w:rsidRDefault="00F96011" w:rsidP="008A6B56">
            <w:pPr>
              <w:spacing w:line="240" w:lineRule="auto"/>
              <w:rPr>
                <w:i/>
                <w:iCs/>
                <w:sz w:val="20"/>
                <w:szCs w:val="20"/>
              </w:rPr>
            </w:pPr>
            <w:r w:rsidRPr="00F96011">
              <w:rPr>
                <w:i/>
                <w:iCs/>
                <w:sz w:val="20"/>
                <w:szCs w:val="20"/>
              </w:rPr>
              <w:t>= Quantité totale annuelle de bois énergie consommés (kg) /700 (kg/m</w:t>
            </w:r>
            <w:r w:rsidRPr="00F96011">
              <w:rPr>
                <w:i/>
                <w:iCs/>
                <w:sz w:val="20"/>
                <w:szCs w:val="20"/>
                <w:vertAlign w:val="superscript"/>
              </w:rPr>
              <w:t>3</w:t>
            </w:r>
            <w:r w:rsidRPr="00F96011">
              <w:rPr>
                <w:i/>
                <w:iCs/>
                <w:sz w:val="20"/>
                <w:szCs w:val="20"/>
              </w:rPr>
              <w:t>) / Accroissement Annuel Moyen</w:t>
            </w:r>
            <w:r w:rsidRPr="00F96011">
              <w:rPr>
                <w:i/>
                <w:iCs/>
                <w:sz w:val="20"/>
                <w:szCs w:val="20"/>
                <w:vertAlign w:val="superscript"/>
              </w:rPr>
              <w:footnoteReference w:id="9"/>
            </w:r>
            <w:r w:rsidRPr="00F96011">
              <w:rPr>
                <w:i/>
                <w:iCs/>
                <w:sz w:val="20"/>
                <w:szCs w:val="20"/>
              </w:rPr>
              <w:t xml:space="preserve"> mixte des forêts naturelles par District (m</w:t>
            </w:r>
            <w:r w:rsidRPr="00F96011">
              <w:rPr>
                <w:i/>
                <w:iCs/>
                <w:sz w:val="20"/>
                <w:szCs w:val="20"/>
                <w:vertAlign w:val="superscript"/>
              </w:rPr>
              <w:t>3</w:t>
            </w:r>
            <w:r w:rsidRPr="00F96011">
              <w:rPr>
                <w:i/>
                <w:iCs/>
                <w:sz w:val="20"/>
                <w:szCs w:val="20"/>
              </w:rPr>
              <w:t xml:space="preserve">/ha) * </w:t>
            </w:r>
            <w:r w:rsidRPr="00F96011">
              <w:rPr>
                <w:i/>
                <w:iCs/>
                <w:sz w:val="20"/>
                <w:szCs w:val="20"/>
              </w:rPr>
              <w:lastRenderedPageBreak/>
              <w:t>taux de prélèvement dans les formations naturelles</w:t>
            </w:r>
            <w:r w:rsidRPr="00F96011">
              <w:rPr>
                <w:i/>
                <w:iCs/>
                <w:sz w:val="20"/>
                <w:szCs w:val="20"/>
                <w:vertAlign w:val="superscript"/>
              </w:rPr>
              <w:footnoteReference w:id="10"/>
            </w:r>
            <w:r w:rsidRPr="00F96011">
              <w:rPr>
                <w:i/>
                <w:iCs/>
                <w:sz w:val="20"/>
                <w:szCs w:val="20"/>
              </w:rPr>
              <w:t xml:space="preserve"> par District</w:t>
            </w:r>
          </w:p>
          <w:p w14:paraId="691BE278" w14:textId="77777777" w:rsidR="00F96011" w:rsidRPr="00F96011" w:rsidRDefault="00F96011" w:rsidP="008A6B56">
            <w:pPr>
              <w:spacing w:line="240" w:lineRule="auto"/>
              <w:rPr>
                <w:i/>
                <w:iCs/>
                <w:sz w:val="20"/>
                <w:szCs w:val="20"/>
              </w:rPr>
            </w:pPr>
          </w:p>
        </w:tc>
      </w:tr>
      <w:tr w:rsidR="00F96011" w:rsidRPr="00F96011" w14:paraId="2F01A37F" w14:textId="77777777" w:rsidTr="00F96011">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D502A8"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74D3B960" w14:textId="77777777" w:rsidR="00F96011" w:rsidRPr="00F96011" w:rsidRDefault="00F96011" w:rsidP="008A6B56">
            <w:pPr>
              <w:spacing w:line="240" w:lineRule="auto"/>
              <w:jc w:val="right"/>
              <w:rPr>
                <w:i/>
                <w:iCs/>
                <w:sz w:val="20"/>
                <w:szCs w:val="20"/>
              </w:rPr>
            </w:pPr>
            <w:r w:rsidRPr="00F96011">
              <w:rPr>
                <w:i/>
                <w:iCs/>
                <w:sz w:val="20"/>
                <w:szCs w:val="20"/>
              </w:rPr>
              <w:t>Taux de prélèvement respectif de bois dans les reboisements</w:t>
            </w:r>
          </w:p>
        </w:tc>
        <w:tc>
          <w:tcPr>
            <w:tcW w:w="1993" w:type="pct"/>
            <w:tcBorders>
              <w:top w:val="nil"/>
              <w:left w:val="nil"/>
              <w:bottom w:val="nil"/>
              <w:right w:val="single" w:sz="4" w:space="0" w:color="auto"/>
            </w:tcBorders>
          </w:tcPr>
          <w:p w14:paraId="797B899D" w14:textId="77777777" w:rsidR="00F96011" w:rsidRPr="00F96011" w:rsidRDefault="00F96011" w:rsidP="008A6B56">
            <w:pPr>
              <w:spacing w:line="240" w:lineRule="auto"/>
              <w:rPr>
                <w:i/>
                <w:iCs/>
                <w:sz w:val="20"/>
                <w:szCs w:val="20"/>
              </w:rPr>
            </w:pPr>
            <w:r w:rsidRPr="00F96011">
              <w:rPr>
                <w:i/>
                <w:iCs/>
                <w:sz w:val="20"/>
                <w:szCs w:val="20"/>
              </w:rPr>
              <w:t>= Produits issus de reboisements / Produits issus de toutes les formations</w:t>
            </w:r>
          </w:p>
          <w:p w14:paraId="135B420D" w14:textId="77777777" w:rsidR="00F96011" w:rsidRPr="00F96011" w:rsidRDefault="00F96011" w:rsidP="008A6B56">
            <w:pPr>
              <w:spacing w:line="240" w:lineRule="auto"/>
              <w:rPr>
                <w:i/>
                <w:iCs/>
                <w:sz w:val="20"/>
                <w:szCs w:val="20"/>
              </w:rPr>
            </w:pPr>
          </w:p>
        </w:tc>
      </w:tr>
      <w:tr w:rsidR="00F96011" w:rsidRPr="00F96011" w14:paraId="33A48171" w14:textId="77777777" w:rsidTr="00F96011">
        <w:trPr>
          <w:trHeight w:val="4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EA1082"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6A882F1B" w14:textId="77777777" w:rsidR="00F96011" w:rsidRPr="00F96011" w:rsidRDefault="00F96011" w:rsidP="008A6B56">
            <w:pPr>
              <w:spacing w:line="240" w:lineRule="auto"/>
              <w:jc w:val="right"/>
              <w:rPr>
                <w:i/>
                <w:iCs/>
                <w:sz w:val="20"/>
                <w:szCs w:val="20"/>
              </w:rPr>
            </w:pPr>
            <w:r w:rsidRPr="00F96011">
              <w:rPr>
                <w:i/>
                <w:iCs/>
                <w:sz w:val="20"/>
                <w:szCs w:val="20"/>
              </w:rPr>
              <w:t xml:space="preserve">Taux de prélèvement respectif de bois dans les formations naturelles </w:t>
            </w:r>
          </w:p>
        </w:tc>
        <w:tc>
          <w:tcPr>
            <w:tcW w:w="1993" w:type="pct"/>
            <w:tcBorders>
              <w:top w:val="nil"/>
              <w:left w:val="nil"/>
              <w:bottom w:val="single" w:sz="4" w:space="0" w:color="auto"/>
              <w:right w:val="single" w:sz="4" w:space="0" w:color="auto"/>
            </w:tcBorders>
            <w:hideMark/>
          </w:tcPr>
          <w:p w14:paraId="0583FD99" w14:textId="77777777" w:rsidR="00F96011" w:rsidRPr="00F96011" w:rsidRDefault="00F96011" w:rsidP="008A6B56">
            <w:pPr>
              <w:spacing w:line="240" w:lineRule="auto"/>
              <w:rPr>
                <w:i/>
                <w:iCs/>
                <w:sz w:val="20"/>
                <w:szCs w:val="20"/>
              </w:rPr>
            </w:pPr>
            <w:r w:rsidRPr="00F96011">
              <w:rPr>
                <w:i/>
                <w:iCs/>
                <w:sz w:val="20"/>
                <w:szCs w:val="20"/>
              </w:rPr>
              <w:t>= Produits issus de formations naturelles / Produits issus de toutes les formations</w:t>
            </w:r>
          </w:p>
        </w:tc>
      </w:tr>
      <w:tr w:rsidR="00F96011" w:rsidRPr="00F96011" w14:paraId="67549E9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906A1FE"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1E81743A" w14:textId="01A96054" w:rsidR="00F96011" w:rsidRPr="00F96011" w:rsidRDefault="00DB0B2E" w:rsidP="008A6B56">
            <w:pPr>
              <w:spacing w:line="240" w:lineRule="auto"/>
            </w:pPr>
            <w:r w:rsidRPr="00F96011">
              <w:t>K</w:t>
            </w:r>
            <w:r w:rsidR="00F96011" w:rsidRPr="00F96011">
              <w:t>g</w:t>
            </w:r>
          </w:p>
        </w:tc>
      </w:tr>
      <w:tr w:rsidR="00F96011" w:rsidRPr="00F96011" w14:paraId="4A8961F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4544E83"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2154BAA7" w14:textId="77777777" w:rsidR="00F96011" w:rsidRPr="00F96011" w:rsidRDefault="00F96011" w:rsidP="008A6B56">
            <w:pPr>
              <w:spacing w:line="240" w:lineRule="auto"/>
            </w:pPr>
            <w:r w:rsidRPr="00F96011">
              <w:t>Chaque année</w:t>
            </w:r>
          </w:p>
        </w:tc>
      </w:tr>
      <w:tr w:rsidR="00F96011" w:rsidRPr="00F96011" w14:paraId="4C96CB5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37F737C"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1B7E051C"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74E8F4C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0032C48"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24C6AD09" w14:textId="77777777" w:rsidR="00F96011" w:rsidRPr="00F96011" w:rsidRDefault="00F96011" w:rsidP="008A6B56">
            <w:pPr>
              <w:spacing w:line="240" w:lineRule="auto"/>
            </w:pPr>
            <w:r w:rsidRPr="00F96011">
              <w:t>Bonne</w:t>
            </w:r>
          </w:p>
        </w:tc>
      </w:tr>
    </w:tbl>
    <w:p w14:paraId="6C6C696A" w14:textId="42529103" w:rsidR="0013533D" w:rsidRDefault="0013533D" w:rsidP="008A6B56">
      <w:pPr>
        <w:spacing w:line="240" w:lineRule="auto"/>
        <w:rPr>
          <w:rFonts w:ascii="Calibri" w:eastAsia="Calibri" w:hAnsi="Calibri" w:cs="Times New Roman"/>
          <w:color w:val="FF0000"/>
        </w:rPr>
      </w:pPr>
    </w:p>
    <w:p w14:paraId="74920910"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3AF8FAF0"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BDD6EE"/>
            <w:hideMark/>
          </w:tcPr>
          <w:p w14:paraId="1614E745" w14:textId="77777777" w:rsidR="00F96011" w:rsidRPr="00A92FDE" w:rsidRDefault="00F96011" w:rsidP="008A6B56">
            <w:pPr>
              <w:spacing w:line="240" w:lineRule="auto"/>
              <w:rPr>
                <w:b/>
                <w:bCs/>
              </w:rPr>
            </w:pPr>
            <w:r w:rsidRPr="00A92FDE">
              <w:rPr>
                <w:b/>
                <w:bCs/>
              </w:rPr>
              <w:lastRenderedPageBreak/>
              <w:t>Fiche N° 16</w:t>
            </w:r>
          </w:p>
        </w:tc>
      </w:tr>
      <w:tr w:rsidR="00F96011" w:rsidRPr="00F96011" w14:paraId="4FE62DFD"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7CBF9DDA" w14:textId="7E186355" w:rsidR="00F96011" w:rsidRPr="00F96011" w:rsidRDefault="00F96011" w:rsidP="008A6B56">
            <w:pPr>
              <w:spacing w:line="240" w:lineRule="auto"/>
              <w:rPr>
                <w:b/>
                <w:bCs/>
              </w:rPr>
            </w:pPr>
            <w:r w:rsidRPr="00F96011">
              <w:t xml:space="preserve">Consommation en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DEEAF6"/>
            <w:hideMark/>
          </w:tcPr>
          <w:p w14:paraId="5E17BE23" w14:textId="77777777" w:rsidR="00F96011" w:rsidRPr="00F96011" w:rsidRDefault="00F96011" w:rsidP="008A6B56">
            <w:pPr>
              <w:pStyle w:val="Titre2"/>
              <w:spacing w:line="240" w:lineRule="auto"/>
              <w:outlineLvl w:val="1"/>
            </w:pPr>
            <w:bookmarkStart w:id="25" w:name="_Toc75162464"/>
            <w:r w:rsidRPr="00F96011">
              <w:t>Dépenses moyennes annuelles par type de bois énergie</w:t>
            </w:r>
            <w:bookmarkEnd w:id="25"/>
          </w:p>
        </w:tc>
      </w:tr>
      <w:tr w:rsidR="00F96011" w:rsidRPr="00F96011" w14:paraId="2BFD4E2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C7F249E"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44AC95D8" w14:textId="72A745F3" w:rsidR="00F96011" w:rsidRPr="00F96011" w:rsidRDefault="00F96011" w:rsidP="008A6B56">
            <w:pPr>
              <w:spacing w:line="240" w:lineRule="auto"/>
              <w:jc w:val="both"/>
            </w:pPr>
            <w:r w:rsidRPr="00F96011">
              <w:t xml:space="preserve">Il s’agit de connaître les consommations et les coûts pour l’utilisation de </w:t>
            </w:r>
            <w:r w:rsidR="00CA2AC7">
              <w:t>bois énergie</w:t>
            </w:r>
            <w:r w:rsidRPr="00F96011">
              <w:t xml:space="preserve"> par ménage et type de gros consommateurs. L’objectif est de donner un ordre de prix des dépenses moyennes des consommateurs selon l’énergie de cuisson qu’ils utilisent quotidiennement et de pouvoir comparer chaque année. Les données à collecter concernent à la fois les types d’énergie de cuisson adoptée, la quantité consommée et le prix des équipements y afférent.</w:t>
            </w:r>
          </w:p>
        </w:tc>
      </w:tr>
      <w:tr w:rsidR="00F96011" w:rsidRPr="00F96011" w14:paraId="049803E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FABB0A4"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68A45D31" w14:textId="77777777" w:rsidR="00F96011" w:rsidRPr="00F96011" w:rsidRDefault="00F96011" w:rsidP="008A6B56">
            <w:pPr>
              <w:spacing w:line="240" w:lineRule="auto"/>
              <w:jc w:val="both"/>
            </w:pPr>
          </w:p>
        </w:tc>
      </w:tr>
      <w:tr w:rsidR="00F96011" w:rsidRPr="00F96011" w14:paraId="071819F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6DBA736"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43AAB615" w14:textId="77777777" w:rsidR="00F96011" w:rsidRPr="00F96011" w:rsidRDefault="00F96011" w:rsidP="008A6B56">
            <w:pPr>
              <w:spacing w:line="240" w:lineRule="auto"/>
              <w:jc w:val="both"/>
              <w:rPr>
                <w:i/>
                <w:iCs/>
              </w:rPr>
            </w:pPr>
            <w:r w:rsidRPr="00F96011">
              <w:rPr>
                <w:i/>
                <w:iCs/>
              </w:rPr>
              <w:t>Fiche d’enquête consommateurs</w:t>
            </w:r>
          </w:p>
        </w:tc>
      </w:tr>
      <w:tr w:rsidR="00F96011" w:rsidRPr="00F96011" w14:paraId="3962D49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2A83C58"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4B1FD73B" w14:textId="77777777" w:rsidR="00F96011" w:rsidRPr="00F96011" w:rsidRDefault="00F96011" w:rsidP="008A6B56">
            <w:pPr>
              <w:spacing w:line="240" w:lineRule="auto"/>
            </w:pPr>
            <w:r w:rsidRPr="00F96011">
              <w:t xml:space="preserve">- Consommation mensuelle en bois de chauffe (ménage / Gros consommateur) </w:t>
            </w:r>
          </w:p>
          <w:p w14:paraId="1F90D56B" w14:textId="77777777" w:rsidR="00F96011" w:rsidRPr="00F96011" w:rsidRDefault="00F96011" w:rsidP="008A6B56">
            <w:pPr>
              <w:spacing w:line="240" w:lineRule="auto"/>
            </w:pPr>
            <w:r w:rsidRPr="00F96011">
              <w:t>- Consommation mensuelle en charbon de bois (ménage / Gros consommateur)</w:t>
            </w:r>
          </w:p>
          <w:p w14:paraId="12581B54" w14:textId="77777777" w:rsidR="00F96011" w:rsidRPr="00F96011" w:rsidRDefault="00F96011" w:rsidP="008A6B56">
            <w:pPr>
              <w:spacing w:line="240" w:lineRule="auto"/>
              <w:jc w:val="both"/>
            </w:pPr>
            <w:r w:rsidRPr="00F96011">
              <w:t>- Prix par kg du bois de chauffe</w:t>
            </w:r>
          </w:p>
          <w:p w14:paraId="591D147F" w14:textId="77777777" w:rsidR="00F96011" w:rsidRPr="00F96011" w:rsidRDefault="00F96011" w:rsidP="008A6B56">
            <w:pPr>
              <w:spacing w:line="240" w:lineRule="auto"/>
              <w:jc w:val="both"/>
            </w:pPr>
            <w:r w:rsidRPr="00F96011">
              <w:t>- Prix par kg du charbon de bois</w:t>
            </w:r>
          </w:p>
          <w:p w14:paraId="4BA821B4" w14:textId="77777777" w:rsidR="00F96011" w:rsidRPr="00F96011" w:rsidRDefault="00F96011" w:rsidP="008A6B56">
            <w:pPr>
              <w:spacing w:line="240" w:lineRule="auto"/>
              <w:jc w:val="both"/>
            </w:pPr>
            <w:r w:rsidRPr="00F96011">
              <w:t>- Dépense annuelle en bois de chauffe par ménage</w:t>
            </w:r>
          </w:p>
          <w:p w14:paraId="0C21E0DE" w14:textId="77777777" w:rsidR="00F96011" w:rsidRPr="00F96011" w:rsidRDefault="00F96011" w:rsidP="008A6B56">
            <w:pPr>
              <w:spacing w:line="240" w:lineRule="auto"/>
              <w:jc w:val="both"/>
            </w:pPr>
            <w:r w:rsidRPr="00F96011">
              <w:t>- Dépense annuelle en charbon de bois par ménage</w:t>
            </w:r>
          </w:p>
          <w:p w14:paraId="0ABC5C66" w14:textId="77777777" w:rsidR="00F96011" w:rsidRPr="00F96011" w:rsidRDefault="00F96011" w:rsidP="008A6B56">
            <w:pPr>
              <w:spacing w:line="240" w:lineRule="auto"/>
              <w:jc w:val="both"/>
            </w:pPr>
            <w:r w:rsidRPr="00F96011">
              <w:t>- Dépense annuelle en bois de chauffe par gros consommateur</w:t>
            </w:r>
          </w:p>
          <w:p w14:paraId="77316DEC" w14:textId="77777777" w:rsidR="00F96011" w:rsidRPr="00F96011" w:rsidRDefault="00F96011" w:rsidP="008A6B56">
            <w:pPr>
              <w:spacing w:line="240" w:lineRule="auto"/>
              <w:jc w:val="both"/>
            </w:pPr>
            <w:r w:rsidRPr="00F96011">
              <w:t>- Dépense annuelle en charbon de bois par gros consommateur</w:t>
            </w:r>
          </w:p>
          <w:p w14:paraId="3E52F1C4" w14:textId="77777777" w:rsidR="00F96011" w:rsidRPr="00F96011" w:rsidRDefault="00F96011" w:rsidP="008A6B56">
            <w:pPr>
              <w:spacing w:line="240" w:lineRule="auto"/>
              <w:jc w:val="both"/>
            </w:pPr>
            <w:r w:rsidRPr="00F96011">
              <w:t>- Dépense annuelle en équipements par ménage</w:t>
            </w:r>
          </w:p>
          <w:p w14:paraId="0F11CFF0" w14:textId="77777777" w:rsidR="00F96011" w:rsidRPr="00F96011" w:rsidRDefault="00F96011" w:rsidP="008A6B56">
            <w:pPr>
              <w:spacing w:line="240" w:lineRule="auto"/>
              <w:jc w:val="both"/>
              <w:rPr>
                <w:color w:val="00B050"/>
              </w:rPr>
            </w:pPr>
            <w:r w:rsidRPr="00F96011">
              <w:t>- Dépense annuelle en équipements par gros consommateur</w:t>
            </w:r>
          </w:p>
        </w:tc>
      </w:tr>
      <w:tr w:rsidR="00F96011" w:rsidRPr="00F96011" w14:paraId="33E5439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F82C415"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79978A9C" w14:textId="7135DE9C" w:rsidR="007A0ACA" w:rsidRDefault="00F96011" w:rsidP="008A6B56">
            <w:pPr>
              <w:spacing w:line="240" w:lineRule="auto"/>
              <w:jc w:val="both"/>
            </w:pPr>
            <w:r w:rsidRPr="00F96011">
              <w:t xml:space="preserve">La collecte de données est précédée d’une étude préalable portant sur l’identification du nombre de ménage et recensement des gros consommateurs. Cette étape est suivie de formation des équipes d’enquêtes, </w:t>
            </w:r>
          </w:p>
          <w:p w14:paraId="45AD7EFA" w14:textId="2BED23D9" w:rsidR="007A0ACA" w:rsidRPr="00670132" w:rsidRDefault="007A0ACA" w:rsidP="008A6B56">
            <w:pPr>
              <w:spacing w:line="240" w:lineRule="auto"/>
              <w:jc w:val="both"/>
            </w:pPr>
            <w:r w:rsidRPr="00670132">
              <w:t xml:space="preserve">portant sur les objectifs et techniques de collecte de données afin qu’ils puissent agir avec le minimum de professionnalisme. </w:t>
            </w:r>
          </w:p>
          <w:p w14:paraId="1974E0EA" w14:textId="4944D896" w:rsidR="00F96011" w:rsidRPr="00F96011" w:rsidRDefault="00F96011" w:rsidP="008A6B56">
            <w:pPr>
              <w:spacing w:line="240" w:lineRule="auto"/>
              <w:jc w:val="both"/>
            </w:pPr>
            <w:r w:rsidRPr="00F96011">
              <w:t>La collecte d’informations se fait au niveau des ménages et des gros consommateurs.</w:t>
            </w:r>
          </w:p>
        </w:tc>
      </w:tr>
      <w:tr w:rsidR="00F96011" w:rsidRPr="00F96011" w14:paraId="5C521E10" w14:textId="77777777" w:rsidTr="00F96011">
        <w:trPr>
          <w:trHeight w:val="421"/>
        </w:trPr>
        <w:tc>
          <w:tcPr>
            <w:tcW w:w="1014" w:type="pct"/>
            <w:vMerge w:val="restart"/>
            <w:tcBorders>
              <w:top w:val="single" w:sz="4" w:space="0" w:color="auto"/>
              <w:left w:val="single" w:sz="4" w:space="0" w:color="auto"/>
              <w:bottom w:val="single" w:sz="4" w:space="0" w:color="auto"/>
              <w:right w:val="single" w:sz="4" w:space="0" w:color="auto"/>
            </w:tcBorders>
            <w:hideMark/>
          </w:tcPr>
          <w:p w14:paraId="7D5E650C"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295766DC" w14:textId="77777777" w:rsidR="00F96011" w:rsidRPr="00F96011" w:rsidRDefault="00F96011" w:rsidP="008A6B56">
            <w:pPr>
              <w:spacing w:line="240" w:lineRule="auto"/>
              <w:jc w:val="right"/>
              <w:rPr>
                <w:i/>
                <w:iCs/>
                <w:sz w:val="20"/>
                <w:szCs w:val="20"/>
              </w:rPr>
            </w:pPr>
            <w:r w:rsidRPr="00F96011">
              <w:rPr>
                <w:i/>
                <w:iCs/>
                <w:sz w:val="20"/>
                <w:szCs w:val="20"/>
              </w:rPr>
              <w:t xml:space="preserve">Dépense annuelle en bois de chauffe par ménage (District) </w:t>
            </w:r>
          </w:p>
        </w:tc>
        <w:tc>
          <w:tcPr>
            <w:tcW w:w="1993" w:type="pct"/>
            <w:tcBorders>
              <w:top w:val="single" w:sz="4" w:space="0" w:color="auto"/>
              <w:left w:val="nil"/>
              <w:bottom w:val="nil"/>
              <w:right w:val="single" w:sz="4" w:space="0" w:color="auto"/>
            </w:tcBorders>
            <w:hideMark/>
          </w:tcPr>
          <w:p w14:paraId="7310818D" w14:textId="71903509" w:rsidR="00F96011" w:rsidRDefault="00F96011" w:rsidP="008A6B56">
            <w:pPr>
              <w:spacing w:line="240" w:lineRule="auto"/>
              <w:rPr>
                <w:i/>
                <w:iCs/>
                <w:sz w:val="20"/>
                <w:szCs w:val="20"/>
              </w:rPr>
            </w:pPr>
            <w:r w:rsidRPr="00F96011">
              <w:rPr>
                <w:i/>
                <w:iCs/>
                <w:sz w:val="20"/>
                <w:szCs w:val="20"/>
              </w:rPr>
              <w:t>= (Dépense annuelle en bois de chauffe + Dépense annuelle en équipements) par ménage</w:t>
            </w:r>
          </w:p>
          <w:p w14:paraId="444F7FDF" w14:textId="77777777" w:rsidR="00450B96" w:rsidRDefault="00450B96" w:rsidP="008A6B56">
            <w:pPr>
              <w:spacing w:line="240" w:lineRule="auto"/>
              <w:rPr>
                <w:i/>
                <w:iCs/>
                <w:sz w:val="20"/>
                <w:szCs w:val="20"/>
              </w:rPr>
            </w:pPr>
          </w:p>
          <w:p w14:paraId="1911D62C" w14:textId="60D8AA77" w:rsidR="00670132" w:rsidRPr="00F96011" w:rsidRDefault="00670132" w:rsidP="008A6B56">
            <w:pPr>
              <w:spacing w:line="240" w:lineRule="auto"/>
              <w:rPr>
                <w:i/>
                <w:iCs/>
                <w:sz w:val="20"/>
                <w:szCs w:val="20"/>
              </w:rPr>
            </w:pPr>
          </w:p>
        </w:tc>
      </w:tr>
      <w:tr w:rsidR="00F96011" w:rsidRPr="00F96011" w14:paraId="19A3DC83" w14:textId="77777777" w:rsidTr="00F96011">
        <w:trPr>
          <w:trHeight w:val="4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5841F9"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35E7D875" w14:textId="77777777" w:rsidR="00F96011" w:rsidRPr="00F96011" w:rsidRDefault="00F96011" w:rsidP="008A6B56">
            <w:pPr>
              <w:spacing w:line="240" w:lineRule="auto"/>
              <w:jc w:val="right"/>
              <w:rPr>
                <w:i/>
                <w:iCs/>
                <w:sz w:val="20"/>
                <w:szCs w:val="20"/>
              </w:rPr>
            </w:pPr>
            <w:r w:rsidRPr="00F96011">
              <w:rPr>
                <w:i/>
                <w:iCs/>
                <w:sz w:val="20"/>
                <w:szCs w:val="20"/>
              </w:rPr>
              <w:t xml:space="preserve">Dépense annuelle en charbon de bois par ménage (District) </w:t>
            </w:r>
          </w:p>
        </w:tc>
        <w:tc>
          <w:tcPr>
            <w:tcW w:w="1993" w:type="pct"/>
            <w:tcBorders>
              <w:top w:val="nil"/>
              <w:left w:val="nil"/>
              <w:bottom w:val="nil"/>
              <w:right w:val="single" w:sz="4" w:space="0" w:color="auto"/>
            </w:tcBorders>
            <w:hideMark/>
          </w:tcPr>
          <w:p w14:paraId="4C289E1A" w14:textId="38E9738A" w:rsidR="00F96011" w:rsidRDefault="00F96011" w:rsidP="008A6B56">
            <w:pPr>
              <w:spacing w:line="240" w:lineRule="auto"/>
              <w:rPr>
                <w:i/>
                <w:iCs/>
                <w:sz w:val="20"/>
                <w:szCs w:val="20"/>
              </w:rPr>
            </w:pPr>
            <w:r w:rsidRPr="00F96011">
              <w:rPr>
                <w:i/>
                <w:iCs/>
                <w:sz w:val="20"/>
                <w:szCs w:val="20"/>
              </w:rPr>
              <w:t>= (Dépense annuelle en charbon de bois + Dépense annuelle en équipements) par ménage</w:t>
            </w:r>
          </w:p>
          <w:p w14:paraId="6F0253B1" w14:textId="77777777" w:rsidR="00450B96" w:rsidRDefault="00450B96" w:rsidP="008A6B56">
            <w:pPr>
              <w:spacing w:line="240" w:lineRule="auto"/>
              <w:rPr>
                <w:i/>
                <w:iCs/>
                <w:sz w:val="20"/>
                <w:szCs w:val="20"/>
              </w:rPr>
            </w:pPr>
          </w:p>
          <w:p w14:paraId="1A67C2AB" w14:textId="5B46F4C2" w:rsidR="00670132" w:rsidRPr="00F96011" w:rsidRDefault="00670132" w:rsidP="008A6B56">
            <w:pPr>
              <w:spacing w:line="240" w:lineRule="auto"/>
              <w:rPr>
                <w:i/>
                <w:iCs/>
                <w:sz w:val="20"/>
                <w:szCs w:val="20"/>
              </w:rPr>
            </w:pPr>
          </w:p>
        </w:tc>
      </w:tr>
      <w:tr w:rsidR="00F96011" w:rsidRPr="00F96011" w14:paraId="756F2209"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4F3E85"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011E3F40" w14:textId="77777777" w:rsidR="00F96011" w:rsidRPr="00F96011" w:rsidRDefault="00F96011" w:rsidP="008A6B56">
            <w:pPr>
              <w:spacing w:line="240" w:lineRule="auto"/>
              <w:jc w:val="right"/>
              <w:rPr>
                <w:i/>
                <w:iCs/>
                <w:sz w:val="20"/>
                <w:szCs w:val="20"/>
              </w:rPr>
            </w:pPr>
            <w:r w:rsidRPr="00F96011">
              <w:rPr>
                <w:i/>
                <w:iCs/>
                <w:sz w:val="20"/>
                <w:szCs w:val="20"/>
              </w:rPr>
              <w:t xml:space="preserve">Dépense annuelle en bois de chauffe par gros consommateur (District) </w:t>
            </w:r>
          </w:p>
        </w:tc>
        <w:tc>
          <w:tcPr>
            <w:tcW w:w="1993" w:type="pct"/>
            <w:tcBorders>
              <w:top w:val="nil"/>
              <w:left w:val="nil"/>
              <w:bottom w:val="nil"/>
              <w:right w:val="single" w:sz="4" w:space="0" w:color="auto"/>
            </w:tcBorders>
            <w:hideMark/>
          </w:tcPr>
          <w:p w14:paraId="1844C55B" w14:textId="47518FFB" w:rsidR="00F96011" w:rsidRDefault="00F96011" w:rsidP="008A6B56">
            <w:pPr>
              <w:spacing w:line="240" w:lineRule="auto"/>
              <w:rPr>
                <w:i/>
                <w:iCs/>
                <w:sz w:val="20"/>
                <w:szCs w:val="20"/>
              </w:rPr>
            </w:pPr>
            <w:r w:rsidRPr="00F96011">
              <w:rPr>
                <w:i/>
                <w:iCs/>
                <w:sz w:val="20"/>
                <w:szCs w:val="20"/>
              </w:rPr>
              <w:t>= (Dépense annuelle en bois de chauffe + Dépense annuelle en équipements) par gros consommateur</w:t>
            </w:r>
          </w:p>
          <w:p w14:paraId="1F0D7291" w14:textId="77777777" w:rsidR="00450B96" w:rsidRDefault="00450B96" w:rsidP="008A6B56">
            <w:pPr>
              <w:spacing w:line="240" w:lineRule="auto"/>
              <w:rPr>
                <w:i/>
                <w:iCs/>
                <w:sz w:val="20"/>
                <w:szCs w:val="20"/>
              </w:rPr>
            </w:pPr>
          </w:p>
          <w:p w14:paraId="006D1FF1" w14:textId="4D462D4D" w:rsidR="00670132" w:rsidRPr="00F96011" w:rsidRDefault="00670132" w:rsidP="008A6B56">
            <w:pPr>
              <w:spacing w:line="240" w:lineRule="auto"/>
              <w:rPr>
                <w:i/>
                <w:iCs/>
                <w:sz w:val="20"/>
                <w:szCs w:val="20"/>
              </w:rPr>
            </w:pPr>
          </w:p>
        </w:tc>
      </w:tr>
      <w:tr w:rsidR="00F96011" w:rsidRPr="00F96011" w14:paraId="67E41B0D"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9B588"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2F35F01C" w14:textId="77777777" w:rsidR="00F96011" w:rsidRPr="00F96011" w:rsidRDefault="00F96011" w:rsidP="008A6B56">
            <w:pPr>
              <w:spacing w:line="240" w:lineRule="auto"/>
              <w:jc w:val="right"/>
              <w:rPr>
                <w:i/>
                <w:iCs/>
                <w:sz w:val="20"/>
                <w:szCs w:val="20"/>
              </w:rPr>
            </w:pPr>
            <w:r w:rsidRPr="00F96011">
              <w:rPr>
                <w:i/>
                <w:iCs/>
                <w:sz w:val="20"/>
                <w:szCs w:val="20"/>
              </w:rPr>
              <w:t xml:space="preserve">Dépense annuelle en charbon de bois par gros consommateur (District) </w:t>
            </w:r>
          </w:p>
        </w:tc>
        <w:tc>
          <w:tcPr>
            <w:tcW w:w="1993" w:type="pct"/>
            <w:tcBorders>
              <w:top w:val="nil"/>
              <w:left w:val="nil"/>
              <w:bottom w:val="nil"/>
              <w:right w:val="single" w:sz="4" w:space="0" w:color="auto"/>
            </w:tcBorders>
            <w:hideMark/>
          </w:tcPr>
          <w:p w14:paraId="2DBD83B9" w14:textId="61F0EB1B" w:rsidR="00F96011" w:rsidRDefault="00F96011" w:rsidP="008A6B56">
            <w:pPr>
              <w:spacing w:line="240" w:lineRule="auto"/>
              <w:rPr>
                <w:i/>
                <w:iCs/>
                <w:sz w:val="20"/>
                <w:szCs w:val="20"/>
              </w:rPr>
            </w:pPr>
            <w:r w:rsidRPr="00F96011">
              <w:rPr>
                <w:i/>
                <w:iCs/>
                <w:sz w:val="20"/>
                <w:szCs w:val="20"/>
              </w:rPr>
              <w:t>= (Dépense annuelle en charbon de bois + Dépense annuelle en équipements) par gros consommateur</w:t>
            </w:r>
          </w:p>
          <w:p w14:paraId="7278611E" w14:textId="77777777" w:rsidR="00450B96" w:rsidRDefault="00450B96" w:rsidP="008A6B56">
            <w:pPr>
              <w:spacing w:line="240" w:lineRule="auto"/>
              <w:rPr>
                <w:i/>
                <w:iCs/>
                <w:sz w:val="20"/>
                <w:szCs w:val="20"/>
              </w:rPr>
            </w:pPr>
          </w:p>
          <w:p w14:paraId="43492382" w14:textId="2153FA7E" w:rsidR="00670132" w:rsidRPr="00F96011" w:rsidRDefault="00670132" w:rsidP="008A6B56">
            <w:pPr>
              <w:spacing w:line="240" w:lineRule="auto"/>
              <w:rPr>
                <w:i/>
                <w:iCs/>
                <w:sz w:val="20"/>
                <w:szCs w:val="20"/>
              </w:rPr>
            </w:pPr>
          </w:p>
        </w:tc>
      </w:tr>
      <w:tr w:rsidR="00F96011" w:rsidRPr="00F96011" w14:paraId="02A54161"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E9FFC"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417C4D5B" w14:textId="77777777" w:rsidR="00F96011" w:rsidRPr="00F96011" w:rsidRDefault="00F96011" w:rsidP="008A6B56">
            <w:pPr>
              <w:spacing w:line="240" w:lineRule="auto"/>
              <w:jc w:val="right"/>
              <w:rPr>
                <w:i/>
                <w:iCs/>
                <w:sz w:val="20"/>
                <w:szCs w:val="20"/>
              </w:rPr>
            </w:pPr>
            <w:r w:rsidRPr="00F96011">
              <w:rPr>
                <w:i/>
                <w:iCs/>
                <w:sz w:val="20"/>
                <w:szCs w:val="20"/>
              </w:rPr>
              <w:t xml:space="preserve">Dépense moyenne annuelle en bois de chauffe par ménage (National) </w:t>
            </w:r>
          </w:p>
        </w:tc>
        <w:tc>
          <w:tcPr>
            <w:tcW w:w="1993" w:type="pct"/>
            <w:tcBorders>
              <w:top w:val="nil"/>
              <w:left w:val="nil"/>
              <w:bottom w:val="nil"/>
              <w:right w:val="single" w:sz="4" w:space="0" w:color="auto"/>
            </w:tcBorders>
            <w:hideMark/>
          </w:tcPr>
          <w:p w14:paraId="0E0A0C94" w14:textId="0F32B4D6" w:rsidR="00F96011" w:rsidRDefault="00F96011" w:rsidP="008A6B56">
            <w:pPr>
              <w:spacing w:line="240" w:lineRule="auto"/>
              <w:rPr>
                <w:i/>
                <w:iCs/>
                <w:sz w:val="20"/>
                <w:szCs w:val="20"/>
              </w:rPr>
            </w:pPr>
            <w:r w:rsidRPr="00F96011">
              <w:rPr>
                <w:i/>
                <w:iCs/>
                <w:sz w:val="20"/>
                <w:szCs w:val="20"/>
              </w:rPr>
              <w:t>= Somme dépense annuelle en bois de chauffe par ménage / Nombre de ménages enquêtés</w:t>
            </w:r>
          </w:p>
          <w:p w14:paraId="27502FD0" w14:textId="77777777" w:rsidR="00450B96" w:rsidRDefault="00450B96" w:rsidP="008A6B56">
            <w:pPr>
              <w:spacing w:line="240" w:lineRule="auto"/>
              <w:rPr>
                <w:i/>
                <w:iCs/>
                <w:sz w:val="20"/>
                <w:szCs w:val="20"/>
              </w:rPr>
            </w:pPr>
          </w:p>
          <w:p w14:paraId="58B0687C" w14:textId="5A7322C7" w:rsidR="00670132" w:rsidRPr="00F96011" w:rsidRDefault="00670132" w:rsidP="008A6B56">
            <w:pPr>
              <w:spacing w:line="240" w:lineRule="auto"/>
              <w:rPr>
                <w:i/>
                <w:iCs/>
                <w:sz w:val="20"/>
                <w:szCs w:val="20"/>
              </w:rPr>
            </w:pPr>
          </w:p>
        </w:tc>
      </w:tr>
      <w:tr w:rsidR="00F96011" w:rsidRPr="00F96011" w14:paraId="7B93B2FA"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9E209"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13F124CD" w14:textId="77777777" w:rsidR="00F96011" w:rsidRPr="00F96011" w:rsidRDefault="00F96011" w:rsidP="008A6B56">
            <w:pPr>
              <w:spacing w:line="240" w:lineRule="auto"/>
              <w:jc w:val="right"/>
              <w:rPr>
                <w:i/>
                <w:iCs/>
                <w:sz w:val="20"/>
                <w:szCs w:val="20"/>
              </w:rPr>
            </w:pPr>
            <w:r w:rsidRPr="00F96011">
              <w:rPr>
                <w:i/>
                <w:iCs/>
                <w:sz w:val="20"/>
                <w:szCs w:val="20"/>
              </w:rPr>
              <w:t xml:space="preserve">Dépense moyenne annuelle en charbon de bois par ménage (National) </w:t>
            </w:r>
          </w:p>
        </w:tc>
        <w:tc>
          <w:tcPr>
            <w:tcW w:w="1993" w:type="pct"/>
            <w:tcBorders>
              <w:top w:val="nil"/>
              <w:left w:val="nil"/>
              <w:bottom w:val="nil"/>
              <w:right w:val="single" w:sz="4" w:space="0" w:color="auto"/>
            </w:tcBorders>
            <w:hideMark/>
          </w:tcPr>
          <w:p w14:paraId="0B400A2B" w14:textId="4A470FA2" w:rsidR="00F96011" w:rsidRDefault="00F96011" w:rsidP="008A6B56">
            <w:pPr>
              <w:spacing w:line="240" w:lineRule="auto"/>
              <w:rPr>
                <w:i/>
                <w:iCs/>
                <w:sz w:val="20"/>
                <w:szCs w:val="20"/>
              </w:rPr>
            </w:pPr>
            <w:r w:rsidRPr="00F96011">
              <w:rPr>
                <w:i/>
                <w:iCs/>
                <w:sz w:val="20"/>
                <w:szCs w:val="20"/>
              </w:rPr>
              <w:t>= Somme dépense annuelle en charbon de bois par ménage / Nombre de ménages enquêtés</w:t>
            </w:r>
          </w:p>
          <w:p w14:paraId="232FA839" w14:textId="77777777" w:rsidR="00450B96" w:rsidRDefault="00450B96" w:rsidP="008A6B56">
            <w:pPr>
              <w:spacing w:line="240" w:lineRule="auto"/>
              <w:rPr>
                <w:i/>
                <w:iCs/>
                <w:sz w:val="20"/>
                <w:szCs w:val="20"/>
              </w:rPr>
            </w:pPr>
          </w:p>
          <w:p w14:paraId="251D996D" w14:textId="32914CE7" w:rsidR="00670132" w:rsidRPr="00F96011" w:rsidRDefault="00670132" w:rsidP="008A6B56">
            <w:pPr>
              <w:spacing w:line="240" w:lineRule="auto"/>
              <w:rPr>
                <w:i/>
                <w:iCs/>
                <w:sz w:val="20"/>
                <w:szCs w:val="20"/>
              </w:rPr>
            </w:pPr>
          </w:p>
        </w:tc>
      </w:tr>
      <w:tr w:rsidR="00F96011" w:rsidRPr="00F96011" w14:paraId="23E602EC"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460C7D"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565A185C" w14:textId="77777777" w:rsidR="00F96011" w:rsidRPr="00F96011" w:rsidRDefault="00F96011" w:rsidP="008A6B56">
            <w:pPr>
              <w:spacing w:line="240" w:lineRule="auto"/>
              <w:jc w:val="right"/>
              <w:rPr>
                <w:i/>
                <w:iCs/>
                <w:sz w:val="20"/>
                <w:szCs w:val="20"/>
              </w:rPr>
            </w:pPr>
            <w:r w:rsidRPr="00F96011">
              <w:rPr>
                <w:i/>
                <w:iCs/>
                <w:sz w:val="20"/>
                <w:szCs w:val="20"/>
              </w:rPr>
              <w:t xml:space="preserve">- Dépense moyenne annuelle en bois de chauffe par gros consommateur (National) </w:t>
            </w:r>
          </w:p>
        </w:tc>
        <w:tc>
          <w:tcPr>
            <w:tcW w:w="1993" w:type="pct"/>
            <w:tcBorders>
              <w:top w:val="nil"/>
              <w:left w:val="nil"/>
              <w:bottom w:val="nil"/>
              <w:right w:val="single" w:sz="4" w:space="0" w:color="auto"/>
            </w:tcBorders>
            <w:hideMark/>
          </w:tcPr>
          <w:p w14:paraId="5E435830" w14:textId="76555B89" w:rsidR="00F96011" w:rsidRDefault="00F96011" w:rsidP="008A6B56">
            <w:pPr>
              <w:spacing w:line="240" w:lineRule="auto"/>
              <w:rPr>
                <w:i/>
                <w:iCs/>
                <w:sz w:val="20"/>
                <w:szCs w:val="20"/>
              </w:rPr>
            </w:pPr>
            <w:r w:rsidRPr="00F96011">
              <w:rPr>
                <w:i/>
                <w:iCs/>
                <w:sz w:val="20"/>
                <w:szCs w:val="20"/>
              </w:rPr>
              <w:t>= Somme dépense annuelle en bois de chauffe par gros consommateurs / Nombre de gros consommateurs enquêtés</w:t>
            </w:r>
          </w:p>
          <w:p w14:paraId="43A585E3" w14:textId="77777777" w:rsidR="00450B96" w:rsidRDefault="00450B96" w:rsidP="008A6B56">
            <w:pPr>
              <w:spacing w:line="240" w:lineRule="auto"/>
              <w:rPr>
                <w:i/>
                <w:iCs/>
                <w:sz w:val="20"/>
                <w:szCs w:val="20"/>
              </w:rPr>
            </w:pPr>
          </w:p>
          <w:p w14:paraId="5965727D" w14:textId="32D2DBB4" w:rsidR="00670132" w:rsidRPr="00F96011" w:rsidRDefault="00670132" w:rsidP="008A6B56">
            <w:pPr>
              <w:spacing w:line="240" w:lineRule="auto"/>
              <w:rPr>
                <w:i/>
                <w:iCs/>
                <w:sz w:val="20"/>
                <w:szCs w:val="20"/>
              </w:rPr>
            </w:pPr>
          </w:p>
        </w:tc>
      </w:tr>
      <w:tr w:rsidR="00F96011" w:rsidRPr="00F96011" w14:paraId="4595AB07" w14:textId="77777777" w:rsidTr="00F96011">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E596"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1F167AC5" w14:textId="77777777" w:rsidR="00F96011" w:rsidRPr="00F96011" w:rsidRDefault="00F96011" w:rsidP="008A6B56">
            <w:pPr>
              <w:spacing w:line="240" w:lineRule="auto"/>
              <w:jc w:val="right"/>
              <w:rPr>
                <w:i/>
                <w:iCs/>
                <w:sz w:val="20"/>
                <w:szCs w:val="20"/>
              </w:rPr>
            </w:pPr>
            <w:r w:rsidRPr="00F96011">
              <w:rPr>
                <w:i/>
                <w:iCs/>
                <w:sz w:val="20"/>
                <w:szCs w:val="20"/>
              </w:rPr>
              <w:t xml:space="preserve">- Dépense moyenne annuelle en charbon de bois par gros consommateur (National) </w:t>
            </w:r>
          </w:p>
        </w:tc>
        <w:tc>
          <w:tcPr>
            <w:tcW w:w="1993" w:type="pct"/>
            <w:tcBorders>
              <w:top w:val="nil"/>
              <w:left w:val="nil"/>
              <w:bottom w:val="single" w:sz="4" w:space="0" w:color="auto"/>
              <w:right w:val="single" w:sz="4" w:space="0" w:color="auto"/>
            </w:tcBorders>
            <w:hideMark/>
          </w:tcPr>
          <w:p w14:paraId="3C7091C9" w14:textId="77777777" w:rsidR="00F96011" w:rsidRPr="00F96011" w:rsidRDefault="00F96011" w:rsidP="008A6B56">
            <w:pPr>
              <w:spacing w:line="240" w:lineRule="auto"/>
              <w:rPr>
                <w:i/>
                <w:iCs/>
                <w:sz w:val="20"/>
                <w:szCs w:val="20"/>
              </w:rPr>
            </w:pPr>
            <w:r w:rsidRPr="00F96011">
              <w:rPr>
                <w:i/>
                <w:iCs/>
                <w:sz w:val="20"/>
                <w:szCs w:val="20"/>
              </w:rPr>
              <w:t>= Somme dépense annuelle en charbon de bois par gros consommateurs / Nombre de gros consommateurs enquêtés</w:t>
            </w:r>
          </w:p>
        </w:tc>
      </w:tr>
      <w:tr w:rsidR="00F96011" w:rsidRPr="00F96011" w14:paraId="0392F6E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9CF11AC"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37E5BD11" w14:textId="77777777" w:rsidR="00F96011" w:rsidRPr="00F96011" w:rsidRDefault="00F96011" w:rsidP="008A6B56">
            <w:pPr>
              <w:spacing w:line="240" w:lineRule="auto"/>
            </w:pPr>
            <w:r w:rsidRPr="00F96011">
              <w:t>Ariary</w:t>
            </w:r>
          </w:p>
        </w:tc>
      </w:tr>
      <w:tr w:rsidR="00F96011" w:rsidRPr="00F96011" w14:paraId="3616C56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81647C5"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49CC1A38" w14:textId="77777777" w:rsidR="00F96011" w:rsidRPr="00F96011" w:rsidRDefault="00F96011" w:rsidP="008A6B56">
            <w:pPr>
              <w:spacing w:line="240" w:lineRule="auto"/>
            </w:pPr>
            <w:r w:rsidRPr="00F96011">
              <w:t>Chaque année</w:t>
            </w:r>
          </w:p>
        </w:tc>
      </w:tr>
      <w:tr w:rsidR="00F96011" w:rsidRPr="00F96011" w14:paraId="2E5D0DE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29F4826"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539FA3D5"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6F8BD88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2EB237F"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51BD8B0A" w14:textId="77777777" w:rsidR="00F96011" w:rsidRPr="00F96011" w:rsidRDefault="00F96011" w:rsidP="008A6B56">
            <w:pPr>
              <w:spacing w:line="240" w:lineRule="auto"/>
            </w:pPr>
            <w:r w:rsidRPr="00F96011">
              <w:t>Bonne</w:t>
            </w:r>
          </w:p>
        </w:tc>
      </w:tr>
    </w:tbl>
    <w:p w14:paraId="717CE75D" w14:textId="69AA5635" w:rsidR="0013533D" w:rsidRDefault="0013533D" w:rsidP="008A6B56">
      <w:pPr>
        <w:spacing w:line="240" w:lineRule="auto"/>
        <w:rPr>
          <w:rFonts w:ascii="Calibri" w:eastAsia="Calibri" w:hAnsi="Calibri" w:cs="Times New Roman"/>
          <w:color w:val="FF0000"/>
        </w:rPr>
      </w:pPr>
    </w:p>
    <w:p w14:paraId="46BA0C8A"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1D6B3529"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BDD6EE"/>
            <w:hideMark/>
          </w:tcPr>
          <w:p w14:paraId="5FC4D6A4" w14:textId="77777777" w:rsidR="00F96011" w:rsidRPr="00A92FDE" w:rsidRDefault="00F96011" w:rsidP="008A6B56">
            <w:pPr>
              <w:spacing w:line="240" w:lineRule="auto"/>
              <w:rPr>
                <w:b/>
                <w:bCs/>
              </w:rPr>
            </w:pPr>
            <w:r w:rsidRPr="00A92FDE">
              <w:rPr>
                <w:b/>
                <w:bCs/>
              </w:rPr>
              <w:lastRenderedPageBreak/>
              <w:t>Fiche N° 17</w:t>
            </w:r>
          </w:p>
        </w:tc>
      </w:tr>
      <w:tr w:rsidR="00F96011" w:rsidRPr="00F96011" w14:paraId="1D22670D"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BDD6EE"/>
            <w:hideMark/>
          </w:tcPr>
          <w:p w14:paraId="34E328BB" w14:textId="26CB0353" w:rsidR="00F96011" w:rsidRPr="00F96011" w:rsidRDefault="00F96011" w:rsidP="008A6B56">
            <w:pPr>
              <w:spacing w:line="240" w:lineRule="auto"/>
              <w:rPr>
                <w:b/>
                <w:bCs/>
              </w:rPr>
            </w:pPr>
            <w:r w:rsidRPr="00F96011">
              <w:t xml:space="preserve">Consommation en </w:t>
            </w:r>
            <w:r w:rsidR="00C76BB3">
              <w:t>bois énergie</w:t>
            </w:r>
          </w:p>
        </w:tc>
        <w:tc>
          <w:tcPr>
            <w:tcW w:w="2578" w:type="pct"/>
            <w:gridSpan w:val="2"/>
            <w:tcBorders>
              <w:top w:val="single" w:sz="4" w:space="0" w:color="auto"/>
              <w:left w:val="single" w:sz="4" w:space="0" w:color="auto"/>
              <w:bottom w:val="single" w:sz="4" w:space="0" w:color="auto"/>
              <w:right w:val="single" w:sz="4" w:space="0" w:color="auto"/>
            </w:tcBorders>
            <w:shd w:val="clear" w:color="auto" w:fill="DEEAF6"/>
            <w:hideMark/>
          </w:tcPr>
          <w:p w14:paraId="099E68AD" w14:textId="432BD79E" w:rsidR="00F96011" w:rsidRPr="00F96011" w:rsidRDefault="00F96011" w:rsidP="008A6B56">
            <w:pPr>
              <w:pStyle w:val="Titre2"/>
              <w:spacing w:line="240" w:lineRule="auto"/>
              <w:outlineLvl w:val="1"/>
            </w:pPr>
            <w:bookmarkStart w:id="26" w:name="_Toc75162465"/>
            <w:r w:rsidRPr="00F96011">
              <w:t xml:space="preserve">Taux de personnes touchées par des maladies causées par l’utilisation de </w:t>
            </w:r>
            <w:r w:rsidR="00C76BB3">
              <w:t>bois énergie</w:t>
            </w:r>
            <w:bookmarkEnd w:id="26"/>
            <w:r w:rsidRPr="00F96011">
              <w:t xml:space="preserve"> </w:t>
            </w:r>
          </w:p>
        </w:tc>
      </w:tr>
      <w:tr w:rsidR="00F96011" w:rsidRPr="00F96011" w14:paraId="4C96923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BD82C06"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3F1DB4E7" w14:textId="77777777" w:rsidR="00F96011" w:rsidRPr="00F96011" w:rsidRDefault="00F96011" w:rsidP="008A6B56">
            <w:pPr>
              <w:spacing w:line="240" w:lineRule="auto"/>
              <w:jc w:val="both"/>
            </w:pPr>
            <w:r w:rsidRPr="00F96011">
              <w:t xml:space="preserve">Des maladies d’infections respiratoire, oculaire ou autres pourraient être générées par l’utilisation des bois énergie. </w:t>
            </w:r>
          </w:p>
          <w:p w14:paraId="71B1C9C6" w14:textId="77777777" w:rsidR="00F96011" w:rsidRPr="00F96011" w:rsidRDefault="00F96011" w:rsidP="008A6B56">
            <w:pPr>
              <w:spacing w:line="240" w:lineRule="auto"/>
              <w:jc w:val="both"/>
            </w:pPr>
            <w:r w:rsidRPr="00F96011">
              <w:t xml:space="preserve">Cet indicateur détermine les effets néfastes provoqués par l’émission de gaz nocifs susceptibles d’impacter négativement sur la santé des utilisateurs surtout les femmes et enfants.   </w:t>
            </w:r>
          </w:p>
        </w:tc>
      </w:tr>
      <w:tr w:rsidR="00F96011" w:rsidRPr="00F96011" w14:paraId="30F6B14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7730C96"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4587B6B8" w14:textId="77777777" w:rsidR="00F96011" w:rsidRDefault="0024666C" w:rsidP="008A6B56">
            <w:pPr>
              <w:spacing w:line="240" w:lineRule="auto"/>
              <w:jc w:val="both"/>
            </w:pPr>
            <w:r>
              <w:t xml:space="preserve">- </w:t>
            </w:r>
            <w:r w:rsidRPr="0024666C">
              <w:t>% de femmes touchées par maladies causées par le bois énergie dans ménage</w:t>
            </w:r>
          </w:p>
          <w:p w14:paraId="2BC60E2E" w14:textId="77777777" w:rsidR="0024666C" w:rsidRDefault="0024666C" w:rsidP="008A6B56">
            <w:pPr>
              <w:spacing w:line="240" w:lineRule="auto"/>
              <w:jc w:val="both"/>
            </w:pPr>
            <w:r>
              <w:t xml:space="preserve">- </w:t>
            </w:r>
            <w:r w:rsidRPr="0024666C">
              <w:t>% de enfants touchés par maladies causées par le bois énergie dans ménage</w:t>
            </w:r>
          </w:p>
          <w:p w14:paraId="23B6A578" w14:textId="1D8DEDDE" w:rsidR="0024666C" w:rsidRPr="00F96011" w:rsidRDefault="0024666C" w:rsidP="008A6B56">
            <w:pPr>
              <w:spacing w:line="240" w:lineRule="auto"/>
              <w:jc w:val="both"/>
            </w:pPr>
            <w:r>
              <w:t xml:space="preserve">- </w:t>
            </w:r>
            <w:r w:rsidRPr="0024666C">
              <w:t>% de femmes employées touchées par maladies causées par le bois énergie dans gros consommateurs</w:t>
            </w:r>
          </w:p>
        </w:tc>
      </w:tr>
      <w:tr w:rsidR="00F96011" w:rsidRPr="00F96011" w14:paraId="35727A9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2FCC678"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tcPr>
          <w:p w14:paraId="3656A7DC" w14:textId="4E418129" w:rsidR="00F96011" w:rsidRPr="00F96011" w:rsidRDefault="00670132" w:rsidP="008A6B56">
            <w:pPr>
              <w:spacing w:line="240" w:lineRule="auto"/>
              <w:jc w:val="both"/>
            </w:pPr>
            <w:r w:rsidRPr="00F96011">
              <w:rPr>
                <w:i/>
                <w:iCs/>
              </w:rPr>
              <w:t>Fiche d’enquête consommateurs</w:t>
            </w:r>
          </w:p>
        </w:tc>
      </w:tr>
      <w:tr w:rsidR="00F96011" w:rsidRPr="00F96011" w14:paraId="6F256AA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3D5D145"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tcPr>
          <w:p w14:paraId="3CC9F273" w14:textId="77777777" w:rsidR="00F96011" w:rsidRPr="00F96011" w:rsidRDefault="00F96011" w:rsidP="008A6B56">
            <w:pPr>
              <w:spacing w:line="240" w:lineRule="auto"/>
            </w:pPr>
            <w:r w:rsidRPr="00F96011">
              <w:t xml:space="preserve">Au niveau ménage : </w:t>
            </w:r>
          </w:p>
          <w:p w14:paraId="2A66E9F7" w14:textId="4C5A9A5E" w:rsidR="00F96011" w:rsidRPr="00F96011" w:rsidRDefault="00F96011" w:rsidP="008A6B56">
            <w:pPr>
              <w:spacing w:line="240" w:lineRule="auto"/>
            </w:pPr>
            <w:r w:rsidRPr="00F96011">
              <w:t xml:space="preserve">- Nombre de personne touchée par des maladies causées par le </w:t>
            </w:r>
            <w:r w:rsidR="00CA2AC7">
              <w:t>bois énergie</w:t>
            </w:r>
            <w:r w:rsidRPr="00F96011">
              <w:t xml:space="preserve"> (ménage)</w:t>
            </w:r>
          </w:p>
          <w:p w14:paraId="492A6772" w14:textId="77777777" w:rsidR="00F96011" w:rsidRPr="00F96011" w:rsidRDefault="00F96011" w:rsidP="008A6B56">
            <w:pPr>
              <w:spacing w:line="240" w:lineRule="auto"/>
            </w:pPr>
            <w:r w:rsidRPr="00F96011">
              <w:t xml:space="preserve">- Nombre de femme touchée par des maladies </w:t>
            </w:r>
          </w:p>
          <w:p w14:paraId="7ACF5B86" w14:textId="77777777" w:rsidR="00F96011" w:rsidRPr="00F96011" w:rsidRDefault="00F96011" w:rsidP="008A6B56">
            <w:pPr>
              <w:spacing w:line="240" w:lineRule="auto"/>
            </w:pPr>
            <w:r w:rsidRPr="00F96011">
              <w:t xml:space="preserve">- Nombre des enfants touchés par des maladies </w:t>
            </w:r>
          </w:p>
          <w:p w14:paraId="7FF71F15" w14:textId="77777777" w:rsidR="00F96011" w:rsidRPr="00F96011" w:rsidRDefault="00F96011" w:rsidP="008A6B56">
            <w:pPr>
              <w:spacing w:line="240" w:lineRule="auto"/>
            </w:pPr>
          </w:p>
          <w:p w14:paraId="46706F20" w14:textId="77777777" w:rsidR="00F96011" w:rsidRPr="00F96011" w:rsidRDefault="00F96011" w:rsidP="008A6B56">
            <w:pPr>
              <w:spacing w:line="240" w:lineRule="auto"/>
            </w:pPr>
            <w:r w:rsidRPr="00F96011">
              <w:t xml:space="preserve">Au niveau des gros consommateurs : </w:t>
            </w:r>
          </w:p>
          <w:p w14:paraId="6263FA43" w14:textId="2F562393" w:rsidR="00F96011" w:rsidRPr="00F96011" w:rsidRDefault="00F96011" w:rsidP="008A6B56">
            <w:pPr>
              <w:spacing w:line="240" w:lineRule="auto"/>
            </w:pPr>
            <w:r w:rsidRPr="00F96011">
              <w:t xml:space="preserve">- Nombre de personne touchée par des maladies causées par le </w:t>
            </w:r>
            <w:r w:rsidR="00CA2AC7">
              <w:t>bois énergie</w:t>
            </w:r>
            <w:r w:rsidRPr="00F96011">
              <w:t xml:space="preserve"> (Gros consommateurs)</w:t>
            </w:r>
          </w:p>
          <w:p w14:paraId="3084BBCD" w14:textId="77777777" w:rsidR="00F96011" w:rsidRPr="00F96011" w:rsidRDefault="00F96011" w:rsidP="008A6B56">
            <w:pPr>
              <w:spacing w:line="240" w:lineRule="auto"/>
            </w:pPr>
            <w:r w:rsidRPr="00F96011">
              <w:t>- Nombre de femme employée touchée par des maladies</w:t>
            </w:r>
          </w:p>
        </w:tc>
      </w:tr>
      <w:tr w:rsidR="00F96011" w:rsidRPr="00F96011" w14:paraId="19C87E53" w14:textId="77777777" w:rsidTr="0024666C">
        <w:tc>
          <w:tcPr>
            <w:tcW w:w="1014" w:type="pct"/>
            <w:tcBorders>
              <w:top w:val="single" w:sz="4" w:space="0" w:color="auto"/>
              <w:left w:val="single" w:sz="4" w:space="0" w:color="auto"/>
              <w:bottom w:val="single" w:sz="4" w:space="0" w:color="auto"/>
              <w:right w:val="single" w:sz="4" w:space="0" w:color="auto"/>
            </w:tcBorders>
            <w:hideMark/>
          </w:tcPr>
          <w:p w14:paraId="097A92CB"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3E5E39B5" w14:textId="77777777" w:rsidR="00F96011" w:rsidRPr="00F96011" w:rsidRDefault="00F96011" w:rsidP="008A6B56">
            <w:pPr>
              <w:spacing w:line="240" w:lineRule="auto"/>
              <w:jc w:val="both"/>
            </w:pPr>
            <w:r w:rsidRPr="00F96011">
              <w:t>Par enquête ménage et gros consommateurs.</w:t>
            </w:r>
          </w:p>
          <w:p w14:paraId="753BFF92" w14:textId="5854DE61" w:rsidR="00F96011" w:rsidRPr="00F96011" w:rsidRDefault="00F96011" w:rsidP="008A6B56">
            <w:pPr>
              <w:spacing w:line="240" w:lineRule="auto"/>
              <w:jc w:val="both"/>
            </w:pPr>
            <w:r w:rsidRPr="00F96011">
              <w:t>La collecte de données est précédée d’une étude préalable portant sur l’identification du nombre de ménage et recensement des gros consommateurs. Cette étape est suivie de formation des équipes d’enquêtes, ce qui a pour but d’informer sur les objectifs et techniques et approche de collecte de données.</w:t>
            </w:r>
            <w:r w:rsidR="007A0ACA">
              <w:t xml:space="preserve"> Il s’agit d’u</w:t>
            </w:r>
            <w:r w:rsidR="007A0ACA" w:rsidRPr="00670132">
              <w:t xml:space="preserve">ne formation sommaire des enquêteurs afin qu’ils puissent agir avec le minimum de professionnalisme. </w:t>
            </w:r>
          </w:p>
        </w:tc>
      </w:tr>
      <w:tr w:rsidR="0024666C" w:rsidRPr="00F96011" w14:paraId="756227F5" w14:textId="77777777" w:rsidTr="0024666C">
        <w:tc>
          <w:tcPr>
            <w:tcW w:w="1014" w:type="pct"/>
            <w:vMerge w:val="restart"/>
            <w:tcBorders>
              <w:top w:val="single" w:sz="4" w:space="0" w:color="auto"/>
              <w:left w:val="single" w:sz="4" w:space="0" w:color="auto"/>
              <w:right w:val="single" w:sz="4" w:space="0" w:color="auto"/>
            </w:tcBorders>
          </w:tcPr>
          <w:p w14:paraId="0ED605FD" w14:textId="394C3594" w:rsidR="0024666C" w:rsidRPr="00F96011" w:rsidRDefault="0024666C" w:rsidP="008A6B56">
            <w:pPr>
              <w:spacing w:line="240" w:lineRule="auto"/>
              <w:rPr>
                <w:b/>
                <w:bCs/>
              </w:rPr>
            </w:pPr>
            <w:r w:rsidRPr="00F96011">
              <w:rPr>
                <w:b/>
                <w:bCs/>
              </w:rPr>
              <w:t>Méthode de calcul</w:t>
            </w:r>
          </w:p>
        </w:tc>
        <w:tc>
          <w:tcPr>
            <w:tcW w:w="1993" w:type="pct"/>
            <w:gridSpan w:val="2"/>
            <w:tcBorders>
              <w:top w:val="single" w:sz="4" w:space="0" w:color="auto"/>
              <w:left w:val="single" w:sz="4" w:space="0" w:color="auto"/>
              <w:bottom w:val="nil"/>
              <w:right w:val="nil"/>
            </w:tcBorders>
          </w:tcPr>
          <w:p w14:paraId="43B086D0" w14:textId="6A7568B9" w:rsidR="0024666C" w:rsidRPr="00F96011" w:rsidRDefault="0024666C" w:rsidP="008A6B56">
            <w:pPr>
              <w:spacing w:line="240" w:lineRule="auto"/>
              <w:jc w:val="right"/>
              <w:rPr>
                <w:i/>
                <w:iCs/>
                <w:sz w:val="20"/>
                <w:szCs w:val="20"/>
              </w:rPr>
            </w:pPr>
            <w:r w:rsidRPr="00F96011">
              <w:rPr>
                <w:i/>
                <w:iCs/>
                <w:sz w:val="20"/>
                <w:szCs w:val="20"/>
              </w:rPr>
              <w:t xml:space="preserve">% de </w:t>
            </w:r>
            <w:r>
              <w:rPr>
                <w:i/>
                <w:iCs/>
                <w:sz w:val="20"/>
                <w:szCs w:val="20"/>
              </w:rPr>
              <w:t>personn</w:t>
            </w:r>
            <w:r w:rsidRPr="00F96011">
              <w:rPr>
                <w:i/>
                <w:iCs/>
                <w:sz w:val="20"/>
                <w:szCs w:val="20"/>
              </w:rPr>
              <w:t>es touchées par maladies causées par le bois énergie dans ménage</w:t>
            </w:r>
          </w:p>
        </w:tc>
        <w:tc>
          <w:tcPr>
            <w:tcW w:w="1993" w:type="pct"/>
            <w:tcBorders>
              <w:top w:val="single" w:sz="4" w:space="0" w:color="auto"/>
              <w:left w:val="nil"/>
              <w:bottom w:val="nil"/>
              <w:right w:val="single" w:sz="4" w:space="0" w:color="auto"/>
            </w:tcBorders>
          </w:tcPr>
          <w:p w14:paraId="54F7A8AF" w14:textId="5C172A89" w:rsidR="0024666C" w:rsidRPr="00F96011" w:rsidRDefault="0024666C" w:rsidP="008A6B56">
            <w:pPr>
              <w:spacing w:line="240" w:lineRule="auto"/>
              <w:rPr>
                <w:i/>
                <w:iCs/>
                <w:sz w:val="20"/>
                <w:szCs w:val="20"/>
              </w:rPr>
            </w:pPr>
            <w:r w:rsidRPr="00F96011">
              <w:rPr>
                <w:i/>
                <w:iCs/>
                <w:sz w:val="20"/>
                <w:szCs w:val="20"/>
              </w:rPr>
              <w:t xml:space="preserve">= Nombre de </w:t>
            </w:r>
            <w:r>
              <w:rPr>
                <w:i/>
                <w:iCs/>
                <w:sz w:val="20"/>
                <w:szCs w:val="20"/>
              </w:rPr>
              <w:t>personn</w:t>
            </w:r>
            <w:r w:rsidRPr="00F96011">
              <w:rPr>
                <w:i/>
                <w:iCs/>
                <w:sz w:val="20"/>
                <w:szCs w:val="20"/>
              </w:rPr>
              <w:t>es touchées/ Nombre total des personnes * 100</w:t>
            </w:r>
          </w:p>
          <w:p w14:paraId="6630B379" w14:textId="77777777" w:rsidR="0024666C" w:rsidRPr="00F96011" w:rsidRDefault="0024666C" w:rsidP="008A6B56">
            <w:pPr>
              <w:spacing w:line="240" w:lineRule="auto"/>
              <w:rPr>
                <w:i/>
                <w:iCs/>
                <w:sz w:val="20"/>
                <w:szCs w:val="20"/>
              </w:rPr>
            </w:pPr>
          </w:p>
        </w:tc>
      </w:tr>
      <w:tr w:rsidR="0024666C" w:rsidRPr="00F96011" w14:paraId="45B424AA" w14:textId="77777777" w:rsidTr="0024666C">
        <w:tc>
          <w:tcPr>
            <w:tcW w:w="1014" w:type="pct"/>
            <w:vMerge/>
            <w:tcBorders>
              <w:left w:val="single" w:sz="4" w:space="0" w:color="auto"/>
              <w:right w:val="single" w:sz="4" w:space="0" w:color="auto"/>
            </w:tcBorders>
            <w:hideMark/>
          </w:tcPr>
          <w:p w14:paraId="3BA2FA6A" w14:textId="4E1FE976" w:rsidR="0024666C" w:rsidRPr="00F96011" w:rsidRDefault="0024666C" w:rsidP="008A6B56">
            <w:pPr>
              <w:spacing w:line="240" w:lineRule="auto"/>
              <w:rPr>
                <w:b/>
                <w:bCs/>
              </w:rPr>
            </w:pPr>
          </w:p>
        </w:tc>
        <w:tc>
          <w:tcPr>
            <w:tcW w:w="1993" w:type="pct"/>
            <w:gridSpan w:val="2"/>
            <w:tcBorders>
              <w:top w:val="nil"/>
              <w:left w:val="single" w:sz="4" w:space="0" w:color="auto"/>
              <w:bottom w:val="nil"/>
              <w:right w:val="nil"/>
            </w:tcBorders>
            <w:hideMark/>
          </w:tcPr>
          <w:p w14:paraId="766D7A30" w14:textId="77777777" w:rsidR="0024666C" w:rsidRPr="00F96011" w:rsidRDefault="0024666C" w:rsidP="008A6B56">
            <w:pPr>
              <w:spacing w:line="240" w:lineRule="auto"/>
              <w:jc w:val="right"/>
              <w:rPr>
                <w:i/>
                <w:iCs/>
                <w:sz w:val="20"/>
                <w:szCs w:val="20"/>
              </w:rPr>
            </w:pPr>
            <w:r w:rsidRPr="00F96011">
              <w:rPr>
                <w:i/>
                <w:iCs/>
                <w:sz w:val="20"/>
                <w:szCs w:val="20"/>
              </w:rPr>
              <w:t>% de femmes touchées par maladies causées par le bois énergie dans ménage</w:t>
            </w:r>
          </w:p>
        </w:tc>
        <w:tc>
          <w:tcPr>
            <w:tcW w:w="1993" w:type="pct"/>
            <w:tcBorders>
              <w:top w:val="nil"/>
              <w:left w:val="nil"/>
              <w:bottom w:val="nil"/>
              <w:right w:val="single" w:sz="4" w:space="0" w:color="auto"/>
            </w:tcBorders>
          </w:tcPr>
          <w:p w14:paraId="60F580CA" w14:textId="77777777" w:rsidR="0024666C" w:rsidRPr="00F96011" w:rsidRDefault="0024666C" w:rsidP="008A6B56">
            <w:pPr>
              <w:spacing w:line="240" w:lineRule="auto"/>
              <w:rPr>
                <w:i/>
                <w:iCs/>
                <w:sz w:val="20"/>
                <w:szCs w:val="20"/>
              </w:rPr>
            </w:pPr>
            <w:r w:rsidRPr="00F96011">
              <w:rPr>
                <w:i/>
                <w:iCs/>
                <w:sz w:val="20"/>
                <w:szCs w:val="20"/>
              </w:rPr>
              <w:t>= Nombre de femmes touchées/ Nombre total des personnes * 100</w:t>
            </w:r>
          </w:p>
          <w:p w14:paraId="455AC13D" w14:textId="77777777" w:rsidR="0024666C" w:rsidRPr="00F96011" w:rsidRDefault="0024666C" w:rsidP="008A6B56">
            <w:pPr>
              <w:spacing w:line="240" w:lineRule="auto"/>
              <w:rPr>
                <w:i/>
                <w:iCs/>
                <w:sz w:val="20"/>
                <w:szCs w:val="20"/>
              </w:rPr>
            </w:pPr>
          </w:p>
        </w:tc>
      </w:tr>
      <w:tr w:rsidR="0024666C" w:rsidRPr="00F96011" w14:paraId="7E74AAEF" w14:textId="77777777" w:rsidTr="0024666C">
        <w:tc>
          <w:tcPr>
            <w:tcW w:w="0" w:type="auto"/>
            <w:vMerge/>
            <w:tcBorders>
              <w:left w:val="single" w:sz="4" w:space="0" w:color="auto"/>
              <w:right w:val="single" w:sz="4" w:space="0" w:color="auto"/>
            </w:tcBorders>
            <w:vAlign w:val="center"/>
            <w:hideMark/>
          </w:tcPr>
          <w:p w14:paraId="2AEF6FFE" w14:textId="77777777" w:rsidR="0024666C" w:rsidRPr="00F96011" w:rsidRDefault="0024666C" w:rsidP="008A6B56">
            <w:pPr>
              <w:spacing w:line="240" w:lineRule="auto"/>
              <w:rPr>
                <w:b/>
                <w:bCs/>
              </w:rPr>
            </w:pPr>
          </w:p>
        </w:tc>
        <w:tc>
          <w:tcPr>
            <w:tcW w:w="1993" w:type="pct"/>
            <w:gridSpan w:val="2"/>
            <w:tcBorders>
              <w:top w:val="nil"/>
              <w:left w:val="single" w:sz="4" w:space="0" w:color="auto"/>
              <w:bottom w:val="nil"/>
              <w:right w:val="nil"/>
            </w:tcBorders>
            <w:hideMark/>
          </w:tcPr>
          <w:p w14:paraId="3EA81BC5" w14:textId="77777777" w:rsidR="0024666C" w:rsidRPr="00F96011" w:rsidRDefault="0024666C" w:rsidP="008A6B56">
            <w:pPr>
              <w:spacing w:line="240" w:lineRule="auto"/>
              <w:jc w:val="right"/>
            </w:pPr>
            <w:r w:rsidRPr="00F96011">
              <w:rPr>
                <w:i/>
                <w:iCs/>
                <w:sz w:val="20"/>
                <w:szCs w:val="20"/>
              </w:rPr>
              <w:t>% de enfants touchés par maladies causées par le bois énergie dans ménage</w:t>
            </w:r>
          </w:p>
        </w:tc>
        <w:tc>
          <w:tcPr>
            <w:tcW w:w="1993" w:type="pct"/>
            <w:tcBorders>
              <w:top w:val="nil"/>
              <w:left w:val="nil"/>
              <w:bottom w:val="nil"/>
              <w:right w:val="single" w:sz="4" w:space="0" w:color="auto"/>
            </w:tcBorders>
          </w:tcPr>
          <w:p w14:paraId="523E2CC2" w14:textId="77777777" w:rsidR="0024666C" w:rsidRPr="00F96011" w:rsidRDefault="0024666C" w:rsidP="008A6B56">
            <w:pPr>
              <w:spacing w:line="240" w:lineRule="auto"/>
              <w:rPr>
                <w:i/>
                <w:iCs/>
                <w:sz w:val="20"/>
                <w:szCs w:val="20"/>
              </w:rPr>
            </w:pPr>
            <w:r w:rsidRPr="00F96011">
              <w:rPr>
                <w:i/>
                <w:iCs/>
                <w:sz w:val="20"/>
                <w:szCs w:val="20"/>
              </w:rPr>
              <w:t>= Nombre de enfants touchés/ Nombre total des personnes * 100</w:t>
            </w:r>
          </w:p>
          <w:p w14:paraId="3647E04D" w14:textId="77777777" w:rsidR="0024666C" w:rsidRPr="00F96011" w:rsidRDefault="0024666C" w:rsidP="008A6B56">
            <w:pPr>
              <w:spacing w:line="240" w:lineRule="auto"/>
            </w:pPr>
          </w:p>
        </w:tc>
      </w:tr>
      <w:tr w:rsidR="0024666C" w:rsidRPr="00F96011" w14:paraId="7E6660EE" w14:textId="77777777" w:rsidTr="0024666C">
        <w:tc>
          <w:tcPr>
            <w:tcW w:w="0" w:type="auto"/>
            <w:vMerge/>
            <w:tcBorders>
              <w:left w:val="single" w:sz="4" w:space="0" w:color="auto"/>
              <w:bottom w:val="single" w:sz="4" w:space="0" w:color="auto"/>
              <w:right w:val="single" w:sz="4" w:space="0" w:color="auto"/>
            </w:tcBorders>
            <w:vAlign w:val="center"/>
            <w:hideMark/>
          </w:tcPr>
          <w:p w14:paraId="5CCE7F2B" w14:textId="77777777" w:rsidR="0024666C" w:rsidRPr="00F96011" w:rsidRDefault="0024666C"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78F187A2" w14:textId="77777777" w:rsidR="0024666C" w:rsidRPr="00F96011" w:rsidRDefault="0024666C" w:rsidP="008A6B56">
            <w:pPr>
              <w:spacing w:line="240" w:lineRule="auto"/>
              <w:jc w:val="right"/>
              <w:rPr>
                <w:i/>
                <w:iCs/>
                <w:sz w:val="20"/>
                <w:szCs w:val="20"/>
              </w:rPr>
            </w:pPr>
            <w:r w:rsidRPr="00F96011">
              <w:rPr>
                <w:i/>
                <w:iCs/>
                <w:sz w:val="20"/>
                <w:szCs w:val="20"/>
              </w:rPr>
              <w:t>% de femmes employées touchées par maladies causées par le bois énergie dans gros consommateurs</w:t>
            </w:r>
          </w:p>
        </w:tc>
        <w:tc>
          <w:tcPr>
            <w:tcW w:w="1993" w:type="pct"/>
            <w:tcBorders>
              <w:top w:val="nil"/>
              <w:left w:val="nil"/>
              <w:bottom w:val="single" w:sz="4" w:space="0" w:color="auto"/>
              <w:right w:val="single" w:sz="4" w:space="0" w:color="auto"/>
            </w:tcBorders>
            <w:hideMark/>
          </w:tcPr>
          <w:p w14:paraId="64ED4B15" w14:textId="77777777" w:rsidR="0024666C" w:rsidRPr="00F96011" w:rsidRDefault="0024666C" w:rsidP="008A6B56">
            <w:pPr>
              <w:spacing w:line="240" w:lineRule="auto"/>
              <w:rPr>
                <w:i/>
                <w:iCs/>
                <w:sz w:val="20"/>
                <w:szCs w:val="20"/>
              </w:rPr>
            </w:pPr>
            <w:r w:rsidRPr="00F96011">
              <w:rPr>
                <w:i/>
                <w:iCs/>
                <w:sz w:val="20"/>
                <w:szCs w:val="20"/>
              </w:rPr>
              <w:t>= Nombre de femmes employées touchées par maladies / Nombre total des employés * 100</w:t>
            </w:r>
          </w:p>
        </w:tc>
      </w:tr>
      <w:tr w:rsidR="00F96011" w:rsidRPr="00F96011" w14:paraId="390810F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8A197C7"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2A4876F3" w14:textId="77777777" w:rsidR="00F96011" w:rsidRPr="00F96011" w:rsidRDefault="00F96011" w:rsidP="008A6B56">
            <w:pPr>
              <w:spacing w:line="240" w:lineRule="auto"/>
            </w:pPr>
            <w:r w:rsidRPr="00F96011">
              <w:t>Pourcentage</w:t>
            </w:r>
          </w:p>
        </w:tc>
      </w:tr>
      <w:tr w:rsidR="00F96011" w:rsidRPr="00F96011" w14:paraId="617397C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57F6831"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3CCC378" w14:textId="77777777" w:rsidR="00F96011" w:rsidRPr="00F96011" w:rsidRDefault="00F96011" w:rsidP="008A6B56">
            <w:pPr>
              <w:spacing w:line="240" w:lineRule="auto"/>
            </w:pPr>
            <w:r w:rsidRPr="00F96011">
              <w:t>Chaque année</w:t>
            </w:r>
          </w:p>
        </w:tc>
      </w:tr>
      <w:tr w:rsidR="00F96011" w:rsidRPr="00F96011" w14:paraId="615CD9CE"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A9193B1"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2DDBB934"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0384E476"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21C8C7A"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5C45F996" w14:textId="77777777" w:rsidR="00F96011" w:rsidRPr="00F96011" w:rsidRDefault="00F96011" w:rsidP="008A6B56">
            <w:pPr>
              <w:spacing w:line="240" w:lineRule="auto"/>
            </w:pPr>
            <w:r w:rsidRPr="00F96011">
              <w:t>Bonne</w:t>
            </w:r>
          </w:p>
        </w:tc>
      </w:tr>
      <w:tr w:rsidR="00F96011" w:rsidRPr="00F96011" w14:paraId="10391307"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F4B083"/>
            <w:hideMark/>
          </w:tcPr>
          <w:p w14:paraId="246D4D3E" w14:textId="1D283031" w:rsidR="00F96011" w:rsidRPr="00A92FDE" w:rsidRDefault="0013533D" w:rsidP="008A6B56">
            <w:pPr>
              <w:spacing w:line="240" w:lineRule="auto"/>
              <w:rPr>
                <w:b/>
                <w:bCs/>
              </w:rPr>
            </w:pPr>
            <w:r>
              <w:rPr>
                <w:color w:val="FF0000"/>
              </w:rPr>
              <w:lastRenderedPageBreak/>
              <w:br w:type="page"/>
            </w:r>
            <w:r w:rsidR="00F96011" w:rsidRPr="00A92FDE">
              <w:rPr>
                <w:b/>
                <w:bCs/>
              </w:rPr>
              <w:t>Fiche N° 18</w:t>
            </w:r>
          </w:p>
        </w:tc>
      </w:tr>
      <w:tr w:rsidR="00F96011" w:rsidRPr="00F96011" w14:paraId="0EBF3A83"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F4B083"/>
            <w:hideMark/>
          </w:tcPr>
          <w:p w14:paraId="789B9C4D" w14:textId="77777777" w:rsidR="00F96011" w:rsidRPr="00F96011" w:rsidRDefault="00F96011" w:rsidP="008A6B56">
            <w:pPr>
              <w:spacing w:line="240" w:lineRule="auto"/>
              <w:rPr>
                <w:b/>
                <w:bCs/>
              </w:rPr>
            </w:pPr>
            <w:r w:rsidRPr="00F96011">
              <w:t>Consommation en alternatives de cuisson</w:t>
            </w:r>
          </w:p>
        </w:tc>
        <w:tc>
          <w:tcPr>
            <w:tcW w:w="2578" w:type="pct"/>
            <w:gridSpan w:val="2"/>
            <w:tcBorders>
              <w:top w:val="single" w:sz="4" w:space="0" w:color="auto"/>
              <w:left w:val="single" w:sz="4" w:space="0" w:color="auto"/>
              <w:bottom w:val="single" w:sz="4" w:space="0" w:color="auto"/>
              <w:right w:val="single" w:sz="4" w:space="0" w:color="auto"/>
            </w:tcBorders>
            <w:shd w:val="clear" w:color="auto" w:fill="F7CAAC"/>
            <w:hideMark/>
          </w:tcPr>
          <w:p w14:paraId="04C82EFC" w14:textId="77777777" w:rsidR="00F96011" w:rsidRPr="00F96011" w:rsidRDefault="00F96011" w:rsidP="008A6B56">
            <w:pPr>
              <w:pStyle w:val="Titre2"/>
              <w:spacing w:line="240" w:lineRule="auto"/>
              <w:outlineLvl w:val="1"/>
            </w:pPr>
            <w:bookmarkStart w:id="27" w:name="_Toc75162466"/>
            <w:r w:rsidRPr="00F96011">
              <w:t>Quantité totale d’énergie de cuisson alternative consommée</w:t>
            </w:r>
            <w:bookmarkEnd w:id="27"/>
          </w:p>
        </w:tc>
      </w:tr>
      <w:tr w:rsidR="00F96011" w:rsidRPr="00F96011" w14:paraId="30B0313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9347992"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4D28C8E7" w14:textId="65108C69" w:rsidR="00F96011" w:rsidRPr="00F96011" w:rsidRDefault="00F96011" w:rsidP="008A6B56">
            <w:pPr>
              <w:spacing w:line="240" w:lineRule="auto"/>
              <w:jc w:val="both"/>
            </w:pPr>
            <w:r w:rsidRPr="00F96011">
              <w:t xml:space="preserve">Cet indicateur détermine l’utilisation de différents types d’alternatives de cuisson, autres que le bois énergie. Il s’agit de connaître la quantité d’énergie utilisée afin d’estimer dans l’avenir le taux de substitution de </w:t>
            </w:r>
            <w:r w:rsidR="00C76BB3">
              <w:t>bois énergie</w:t>
            </w:r>
            <w:r w:rsidRPr="00F96011">
              <w:t xml:space="preserve">. </w:t>
            </w:r>
          </w:p>
        </w:tc>
      </w:tr>
      <w:tr w:rsidR="00F96011" w:rsidRPr="00F96011" w14:paraId="27C869C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25CE903"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tcPr>
          <w:p w14:paraId="716416B7" w14:textId="77777777" w:rsidR="00F96011" w:rsidRPr="00F96011" w:rsidRDefault="00F96011" w:rsidP="008A6B56">
            <w:pPr>
              <w:spacing w:line="240" w:lineRule="auto"/>
              <w:jc w:val="both"/>
            </w:pPr>
          </w:p>
        </w:tc>
      </w:tr>
      <w:tr w:rsidR="00F96011" w:rsidRPr="00F96011" w14:paraId="195FB07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E8F0EDF"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613A6C75" w14:textId="77777777" w:rsidR="00F96011" w:rsidRPr="00F96011" w:rsidRDefault="00F96011" w:rsidP="008A6B56">
            <w:pPr>
              <w:spacing w:line="240" w:lineRule="auto"/>
              <w:jc w:val="both"/>
              <w:rPr>
                <w:i/>
                <w:iCs/>
              </w:rPr>
            </w:pPr>
            <w:r w:rsidRPr="00F96011">
              <w:rPr>
                <w:i/>
                <w:iCs/>
              </w:rPr>
              <w:t>Fiche d’enquête consommateurs</w:t>
            </w:r>
          </w:p>
        </w:tc>
      </w:tr>
      <w:tr w:rsidR="00F96011" w:rsidRPr="00F96011" w14:paraId="70B377F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7020859"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7406F181" w14:textId="77777777" w:rsidR="00F96011" w:rsidRPr="00F96011" w:rsidRDefault="00F96011" w:rsidP="008A6B56">
            <w:pPr>
              <w:spacing w:line="240" w:lineRule="auto"/>
            </w:pPr>
            <w:r w:rsidRPr="00F96011">
              <w:t>- Différents types de cuisson alternative utilisée (pétrole lampant, gaz butane, biogaz, bioéthanol, briquette/charbon vert, résidus agricoles/sous-produits, électrique, solaire et autres)</w:t>
            </w:r>
          </w:p>
          <w:p w14:paraId="496BE463" w14:textId="77777777" w:rsidR="00F96011" w:rsidRPr="00F96011" w:rsidRDefault="00F96011" w:rsidP="008A6B56">
            <w:pPr>
              <w:spacing w:line="240" w:lineRule="auto"/>
            </w:pPr>
            <w:r w:rsidRPr="00F96011">
              <w:t>- Consommation d’énergie alternative de cuisson des ménages</w:t>
            </w:r>
          </w:p>
          <w:p w14:paraId="4B2593FD" w14:textId="77777777" w:rsidR="00F96011" w:rsidRPr="00F96011" w:rsidRDefault="00F96011" w:rsidP="008A6B56">
            <w:pPr>
              <w:spacing w:line="240" w:lineRule="auto"/>
            </w:pPr>
            <w:r w:rsidRPr="00F96011">
              <w:t>- Consommation d’énergie alternative de cuisson des gros consommateurs</w:t>
            </w:r>
          </w:p>
          <w:p w14:paraId="7BAB2B92" w14:textId="77777777" w:rsidR="00F96011" w:rsidRPr="00F96011" w:rsidRDefault="00F96011" w:rsidP="008A6B56">
            <w:pPr>
              <w:spacing w:line="240" w:lineRule="auto"/>
            </w:pPr>
            <w:r w:rsidRPr="00F96011">
              <w:t>- Quantité totale d’énergie de cuisson consommée par type d’alternative de cuisson</w:t>
            </w:r>
          </w:p>
        </w:tc>
      </w:tr>
      <w:tr w:rsidR="00F96011" w:rsidRPr="00F96011" w14:paraId="79DF7795"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00F6A7F"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5A756386" w14:textId="77777777" w:rsidR="00F96011" w:rsidRPr="00F96011" w:rsidRDefault="00F96011" w:rsidP="008A6B56">
            <w:pPr>
              <w:spacing w:line="240" w:lineRule="auto"/>
              <w:jc w:val="both"/>
            </w:pPr>
            <w:r w:rsidRPr="00F96011">
              <w:t>Par enquêtes ménage et gros consommateurs.</w:t>
            </w:r>
          </w:p>
          <w:p w14:paraId="4DD6A12B" w14:textId="77777777" w:rsidR="007A0ACA" w:rsidRPr="00670132" w:rsidRDefault="007A0ACA" w:rsidP="008A6B56">
            <w:pPr>
              <w:spacing w:line="240" w:lineRule="auto"/>
              <w:jc w:val="both"/>
            </w:pPr>
            <w:r w:rsidRPr="00670132">
              <w:t xml:space="preserve">Une formation sommaire des enquêteurs s’impose portant sur les objectifs et techniques de collecte de données afin qu’ils puissent agir avec le minimum de professionnalisme. </w:t>
            </w:r>
          </w:p>
          <w:p w14:paraId="6AAF22D1" w14:textId="77777777" w:rsidR="00F96011" w:rsidRPr="00F96011" w:rsidRDefault="00F96011" w:rsidP="008A6B56">
            <w:pPr>
              <w:spacing w:line="240" w:lineRule="auto"/>
              <w:jc w:val="both"/>
            </w:pPr>
            <w:r w:rsidRPr="00F96011">
              <w:t xml:space="preserve">L’identification préalable des cibles, notamment les gros consommateurs sera nécessaire afin d’orienter les échantillonnages adoptés. </w:t>
            </w:r>
          </w:p>
          <w:p w14:paraId="5BD79E44" w14:textId="77777777" w:rsidR="00F96011" w:rsidRPr="00F96011" w:rsidRDefault="00F96011" w:rsidP="008A6B56">
            <w:pPr>
              <w:spacing w:line="240" w:lineRule="auto"/>
              <w:jc w:val="both"/>
            </w:pPr>
            <w:r w:rsidRPr="00F96011">
              <w:t xml:space="preserve">Collecte d’informations sur les types d’énergie utilisée et leur consommation. </w:t>
            </w:r>
          </w:p>
        </w:tc>
      </w:tr>
      <w:tr w:rsidR="00F96011" w:rsidRPr="00F96011" w14:paraId="53F631DD" w14:textId="77777777" w:rsidTr="00F96011">
        <w:trPr>
          <w:trHeight w:val="348"/>
        </w:trPr>
        <w:tc>
          <w:tcPr>
            <w:tcW w:w="1014" w:type="pct"/>
            <w:vMerge w:val="restart"/>
            <w:tcBorders>
              <w:top w:val="single" w:sz="4" w:space="0" w:color="auto"/>
              <w:left w:val="single" w:sz="4" w:space="0" w:color="auto"/>
              <w:bottom w:val="single" w:sz="4" w:space="0" w:color="auto"/>
              <w:right w:val="single" w:sz="4" w:space="0" w:color="auto"/>
            </w:tcBorders>
            <w:hideMark/>
          </w:tcPr>
          <w:p w14:paraId="0CFB8A04"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7418FF82" w14:textId="77777777" w:rsidR="00450B96" w:rsidRDefault="00F96011" w:rsidP="008A6B56">
            <w:pPr>
              <w:spacing w:line="240" w:lineRule="auto"/>
              <w:jc w:val="right"/>
              <w:rPr>
                <w:i/>
                <w:iCs/>
                <w:sz w:val="20"/>
                <w:szCs w:val="20"/>
              </w:rPr>
            </w:pPr>
            <w:r w:rsidRPr="00F96011">
              <w:rPr>
                <w:i/>
                <w:iCs/>
                <w:sz w:val="20"/>
                <w:szCs w:val="20"/>
              </w:rPr>
              <w:t>Quantité annuelle consommée en énergie alternative de cuisson par ménage (District)</w:t>
            </w:r>
          </w:p>
          <w:p w14:paraId="28EA6ABC" w14:textId="47F0988C" w:rsidR="00F96011" w:rsidRPr="00F96011" w:rsidRDefault="00F96011" w:rsidP="008A6B56">
            <w:pPr>
              <w:spacing w:line="240" w:lineRule="auto"/>
              <w:jc w:val="right"/>
              <w:rPr>
                <w:strike/>
                <w:color w:val="00B050"/>
              </w:rPr>
            </w:pPr>
            <w:r w:rsidRPr="00F96011">
              <w:rPr>
                <w:i/>
                <w:iCs/>
                <w:sz w:val="20"/>
                <w:szCs w:val="20"/>
              </w:rPr>
              <w:t xml:space="preserve"> </w:t>
            </w:r>
          </w:p>
        </w:tc>
        <w:tc>
          <w:tcPr>
            <w:tcW w:w="1993" w:type="pct"/>
            <w:tcBorders>
              <w:top w:val="single" w:sz="4" w:space="0" w:color="auto"/>
              <w:left w:val="nil"/>
              <w:bottom w:val="nil"/>
              <w:right w:val="single" w:sz="4" w:space="0" w:color="auto"/>
            </w:tcBorders>
            <w:hideMark/>
          </w:tcPr>
          <w:p w14:paraId="75933818" w14:textId="77777777" w:rsidR="00F96011" w:rsidRDefault="00F96011" w:rsidP="008A6B56">
            <w:pPr>
              <w:spacing w:line="240" w:lineRule="auto"/>
              <w:rPr>
                <w:i/>
                <w:iCs/>
                <w:sz w:val="20"/>
                <w:szCs w:val="20"/>
              </w:rPr>
            </w:pPr>
            <w:r w:rsidRPr="00F96011">
              <w:rPr>
                <w:i/>
                <w:iCs/>
                <w:sz w:val="20"/>
                <w:szCs w:val="20"/>
              </w:rPr>
              <w:t>= Somme consommation annuelle en bois des ménages par District</w:t>
            </w:r>
          </w:p>
          <w:p w14:paraId="2E99CC36" w14:textId="77777777" w:rsidR="00670132" w:rsidRDefault="00670132" w:rsidP="008A6B56">
            <w:pPr>
              <w:spacing w:line="240" w:lineRule="auto"/>
              <w:rPr>
                <w:i/>
                <w:iCs/>
                <w:strike/>
                <w:color w:val="00B050"/>
                <w:sz w:val="20"/>
                <w:szCs w:val="20"/>
              </w:rPr>
            </w:pPr>
          </w:p>
          <w:p w14:paraId="440D7960" w14:textId="2BDBE981" w:rsidR="00670132" w:rsidRPr="00F96011" w:rsidRDefault="00670132" w:rsidP="008A6B56">
            <w:pPr>
              <w:spacing w:line="240" w:lineRule="auto"/>
              <w:rPr>
                <w:strike/>
                <w:color w:val="00B050"/>
              </w:rPr>
            </w:pPr>
          </w:p>
        </w:tc>
      </w:tr>
      <w:tr w:rsidR="00F96011" w:rsidRPr="00F96011" w14:paraId="01F534D8" w14:textId="77777777" w:rsidTr="00F96011">
        <w:trPr>
          <w:trHeight w:val="3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3CAE5"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0BEB8458" w14:textId="3C3CD1FB" w:rsidR="00F96011" w:rsidRPr="00F96011" w:rsidRDefault="00F96011" w:rsidP="008A6B56">
            <w:pPr>
              <w:spacing w:line="240" w:lineRule="auto"/>
              <w:jc w:val="right"/>
              <w:rPr>
                <w:strike/>
                <w:color w:val="00B050"/>
              </w:rPr>
            </w:pPr>
            <w:r w:rsidRPr="00F96011">
              <w:rPr>
                <w:i/>
                <w:iCs/>
                <w:sz w:val="20"/>
                <w:szCs w:val="20"/>
              </w:rPr>
              <w:t xml:space="preserve">Quantité annuelle consommée en </w:t>
            </w:r>
            <w:r w:rsidR="00C76BB3">
              <w:rPr>
                <w:i/>
                <w:iCs/>
                <w:sz w:val="20"/>
                <w:szCs w:val="20"/>
              </w:rPr>
              <w:t>bois énergie</w:t>
            </w:r>
            <w:r w:rsidRPr="00F96011">
              <w:rPr>
                <w:i/>
                <w:iCs/>
                <w:sz w:val="20"/>
                <w:szCs w:val="20"/>
              </w:rPr>
              <w:t xml:space="preserve"> alternative de cuisson par gros consommateur (District)</w:t>
            </w:r>
          </w:p>
        </w:tc>
        <w:tc>
          <w:tcPr>
            <w:tcW w:w="1993" w:type="pct"/>
            <w:tcBorders>
              <w:top w:val="nil"/>
              <w:left w:val="nil"/>
              <w:bottom w:val="single" w:sz="4" w:space="0" w:color="auto"/>
              <w:right w:val="single" w:sz="4" w:space="0" w:color="auto"/>
            </w:tcBorders>
            <w:hideMark/>
          </w:tcPr>
          <w:p w14:paraId="6540CC94" w14:textId="77777777" w:rsidR="00F96011" w:rsidRPr="00F96011" w:rsidRDefault="00F96011" w:rsidP="008A6B56">
            <w:pPr>
              <w:spacing w:line="240" w:lineRule="auto"/>
              <w:rPr>
                <w:strike/>
                <w:color w:val="00B050"/>
              </w:rPr>
            </w:pPr>
            <w:r w:rsidRPr="00F96011">
              <w:rPr>
                <w:i/>
                <w:iCs/>
                <w:sz w:val="20"/>
                <w:szCs w:val="20"/>
              </w:rPr>
              <w:t>= Somme consommation annuelle en bois des gros consommateurs par District</w:t>
            </w:r>
          </w:p>
        </w:tc>
      </w:tr>
      <w:tr w:rsidR="00F96011" w:rsidRPr="00F96011" w14:paraId="77192B4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36F8E53D"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57F136F" w14:textId="77777777" w:rsidR="00F96011" w:rsidRPr="00F96011" w:rsidRDefault="00F96011" w:rsidP="008A6B56">
            <w:pPr>
              <w:spacing w:line="240" w:lineRule="auto"/>
            </w:pPr>
            <w:r w:rsidRPr="00F96011">
              <w:t>kJ</w:t>
            </w:r>
          </w:p>
        </w:tc>
      </w:tr>
      <w:tr w:rsidR="00F96011" w:rsidRPr="00F96011" w14:paraId="16614429"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1B9DB469"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0C1ED86B" w14:textId="77777777" w:rsidR="00F96011" w:rsidRPr="00F96011" w:rsidRDefault="00F96011" w:rsidP="008A6B56">
            <w:pPr>
              <w:spacing w:line="240" w:lineRule="auto"/>
            </w:pPr>
            <w:r w:rsidRPr="00F96011">
              <w:t>Chaque année</w:t>
            </w:r>
          </w:p>
        </w:tc>
      </w:tr>
      <w:tr w:rsidR="00F96011" w:rsidRPr="00F96011" w14:paraId="4039E41F"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C8090B8"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5B3CA2AE"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6630D587"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7F15D38"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5191ECA8" w14:textId="77777777" w:rsidR="00F96011" w:rsidRPr="00F96011" w:rsidRDefault="00F96011" w:rsidP="008A6B56">
            <w:pPr>
              <w:spacing w:line="240" w:lineRule="auto"/>
            </w:pPr>
            <w:r w:rsidRPr="00F96011">
              <w:t>Bonne</w:t>
            </w:r>
          </w:p>
        </w:tc>
      </w:tr>
    </w:tbl>
    <w:p w14:paraId="52625A60" w14:textId="3EF405EC" w:rsidR="0013533D" w:rsidRDefault="0013533D" w:rsidP="008A6B56">
      <w:pPr>
        <w:spacing w:line="240" w:lineRule="auto"/>
        <w:rPr>
          <w:rFonts w:ascii="Calibri" w:eastAsia="Calibri" w:hAnsi="Calibri" w:cs="Times New Roman"/>
          <w:color w:val="FF0000"/>
        </w:rPr>
      </w:pPr>
    </w:p>
    <w:p w14:paraId="3293F2B2" w14:textId="77777777" w:rsidR="0013533D" w:rsidRDefault="0013533D" w:rsidP="008A6B56">
      <w:pPr>
        <w:spacing w:line="240" w:lineRule="auto"/>
        <w:rPr>
          <w:rFonts w:ascii="Calibri" w:eastAsia="Calibri" w:hAnsi="Calibri" w:cs="Times New Roman"/>
          <w:color w:val="FF0000"/>
        </w:rPr>
      </w:pPr>
      <w:r>
        <w:rPr>
          <w:rFonts w:ascii="Calibri" w:eastAsia="Calibri" w:hAnsi="Calibri" w:cs="Times New Roman"/>
          <w:color w:val="FF0000"/>
        </w:rPr>
        <w:br w:type="page"/>
      </w:r>
    </w:p>
    <w:tbl>
      <w:tblPr>
        <w:tblStyle w:val="Grilledutableau3"/>
        <w:tblW w:w="5000" w:type="pct"/>
        <w:tblInd w:w="0" w:type="dxa"/>
        <w:tblLook w:val="04A0" w:firstRow="1" w:lastRow="0" w:firstColumn="1" w:lastColumn="0" w:noHBand="0" w:noVBand="1"/>
      </w:tblPr>
      <w:tblGrid>
        <w:gridCol w:w="1838"/>
        <w:gridCol w:w="2552"/>
        <w:gridCol w:w="1060"/>
        <w:gridCol w:w="3612"/>
      </w:tblGrid>
      <w:tr w:rsidR="00F96011" w:rsidRPr="00F96011" w14:paraId="748DC6E3" w14:textId="77777777" w:rsidTr="00F96011">
        <w:trPr>
          <w:gridAfter w:val="3"/>
          <w:wAfter w:w="3986" w:type="pct"/>
        </w:trPr>
        <w:tc>
          <w:tcPr>
            <w:tcW w:w="1014" w:type="pct"/>
            <w:tcBorders>
              <w:top w:val="single" w:sz="4" w:space="0" w:color="auto"/>
              <w:left w:val="single" w:sz="4" w:space="0" w:color="auto"/>
              <w:bottom w:val="single" w:sz="4" w:space="0" w:color="auto"/>
              <w:right w:val="single" w:sz="4" w:space="0" w:color="auto"/>
            </w:tcBorders>
            <w:shd w:val="clear" w:color="auto" w:fill="F4B083"/>
            <w:hideMark/>
          </w:tcPr>
          <w:p w14:paraId="223208F1" w14:textId="77777777" w:rsidR="00F96011" w:rsidRPr="00A92FDE" w:rsidRDefault="00F96011" w:rsidP="008A6B56">
            <w:pPr>
              <w:spacing w:line="240" w:lineRule="auto"/>
              <w:rPr>
                <w:b/>
                <w:bCs/>
              </w:rPr>
            </w:pPr>
            <w:r w:rsidRPr="00A92FDE">
              <w:rPr>
                <w:b/>
                <w:bCs/>
              </w:rPr>
              <w:lastRenderedPageBreak/>
              <w:t>Fiche N° 19</w:t>
            </w:r>
          </w:p>
        </w:tc>
      </w:tr>
      <w:tr w:rsidR="00F96011" w:rsidRPr="00F96011" w14:paraId="0C6D2633" w14:textId="77777777" w:rsidTr="00F96011">
        <w:tc>
          <w:tcPr>
            <w:tcW w:w="2422" w:type="pct"/>
            <w:gridSpan w:val="2"/>
            <w:tcBorders>
              <w:top w:val="single" w:sz="4" w:space="0" w:color="auto"/>
              <w:left w:val="single" w:sz="4" w:space="0" w:color="auto"/>
              <w:bottom w:val="single" w:sz="4" w:space="0" w:color="auto"/>
              <w:right w:val="single" w:sz="4" w:space="0" w:color="auto"/>
            </w:tcBorders>
            <w:shd w:val="clear" w:color="auto" w:fill="F4B083"/>
            <w:hideMark/>
          </w:tcPr>
          <w:p w14:paraId="7E13DB49" w14:textId="77777777" w:rsidR="00F96011" w:rsidRPr="00F96011" w:rsidRDefault="00F96011" w:rsidP="008A6B56">
            <w:pPr>
              <w:spacing w:line="240" w:lineRule="auto"/>
              <w:rPr>
                <w:b/>
                <w:bCs/>
              </w:rPr>
            </w:pPr>
            <w:r w:rsidRPr="00F96011">
              <w:t>Consommation en alternatives de cuisson</w:t>
            </w:r>
          </w:p>
        </w:tc>
        <w:tc>
          <w:tcPr>
            <w:tcW w:w="2578" w:type="pct"/>
            <w:gridSpan w:val="2"/>
            <w:tcBorders>
              <w:top w:val="single" w:sz="4" w:space="0" w:color="auto"/>
              <w:left w:val="single" w:sz="4" w:space="0" w:color="auto"/>
              <w:bottom w:val="single" w:sz="4" w:space="0" w:color="auto"/>
              <w:right w:val="single" w:sz="4" w:space="0" w:color="auto"/>
            </w:tcBorders>
            <w:shd w:val="clear" w:color="auto" w:fill="FBE4D5"/>
            <w:hideMark/>
          </w:tcPr>
          <w:p w14:paraId="5AD08437" w14:textId="4CBFF061" w:rsidR="00F96011" w:rsidRPr="00F96011" w:rsidRDefault="00F96011" w:rsidP="008A6B56">
            <w:pPr>
              <w:pStyle w:val="Titre2"/>
              <w:spacing w:line="240" w:lineRule="auto"/>
              <w:outlineLvl w:val="1"/>
            </w:pPr>
            <w:bookmarkStart w:id="28" w:name="_Toc75162467"/>
            <w:r w:rsidRPr="00F96011">
              <w:t xml:space="preserve">Dépenses moyennes annuelles </w:t>
            </w:r>
            <w:r w:rsidR="00C10716">
              <w:t>par type d’</w:t>
            </w:r>
            <w:r w:rsidRPr="00F96011">
              <w:t>alternatives de cuisson</w:t>
            </w:r>
            <w:bookmarkEnd w:id="28"/>
          </w:p>
        </w:tc>
      </w:tr>
      <w:tr w:rsidR="00F96011" w:rsidRPr="00F96011" w14:paraId="648ECE1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25F1B70" w14:textId="77777777" w:rsidR="00F96011" w:rsidRPr="00F96011" w:rsidRDefault="00F96011" w:rsidP="008A6B56">
            <w:pPr>
              <w:spacing w:line="240" w:lineRule="auto"/>
              <w:rPr>
                <w:b/>
                <w:bCs/>
              </w:rPr>
            </w:pPr>
            <w:r w:rsidRPr="00F96011">
              <w:rPr>
                <w:b/>
                <w:bCs/>
              </w:rPr>
              <w:t>Description</w:t>
            </w:r>
          </w:p>
        </w:tc>
        <w:tc>
          <w:tcPr>
            <w:tcW w:w="3986" w:type="pct"/>
            <w:gridSpan w:val="3"/>
            <w:tcBorders>
              <w:top w:val="single" w:sz="4" w:space="0" w:color="auto"/>
              <w:left w:val="single" w:sz="4" w:space="0" w:color="auto"/>
              <w:bottom w:val="single" w:sz="4" w:space="0" w:color="auto"/>
              <w:right w:val="single" w:sz="4" w:space="0" w:color="auto"/>
            </w:tcBorders>
            <w:hideMark/>
          </w:tcPr>
          <w:p w14:paraId="25AC7846" w14:textId="044FAC4F" w:rsidR="00F96011" w:rsidRPr="00F96011" w:rsidRDefault="00F96011" w:rsidP="008A6B56">
            <w:pPr>
              <w:spacing w:line="240" w:lineRule="auto"/>
            </w:pPr>
            <w:r w:rsidRPr="00F96011">
              <w:t xml:space="preserve">Il s’agit de connaître la valeur de la réduction des dépenses allouées à l’achat de </w:t>
            </w:r>
            <w:r w:rsidR="00CA2AC7">
              <w:t>bois énergie</w:t>
            </w:r>
            <w:r w:rsidRPr="00F96011">
              <w:t xml:space="preserve"> par l’utilisation d’autres alternatives de cuisson. </w:t>
            </w:r>
          </w:p>
        </w:tc>
      </w:tr>
      <w:tr w:rsidR="00F96011" w:rsidRPr="00F96011" w14:paraId="4615B89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55849507" w14:textId="77777777" w:rsidR="00F96011" w:rsidRPr="00F96011" w:rsidRDefault="00F96011" w:rsidP="008A6B56">
            <w:pPr>
              <w:spacing w:line="240" w:lineRule="auto"/>
              <w:rPr>
                <w:b/>
                <w:bCs/>
              </w:rPr>
            </w:pPr>
            <w:r w:rsidRPr="00F96011">
              <w:rPr>
                <w:b/>
                <w:bCs/>
              </w:rPr>
              <w:t>Indicateurs associés</w:t>
            </w:r>
          </w:p>
        </w:tc>
        <w:tc>
          <w:tcPr>
            <w:tcW w:w="3986" w:type="pct"/>
            <w:gridSpan w:val="3"/>
            <w:tcBorders>
              <w:top w:val="single" w:sz="4" w:space="0" w:color="auto"/>
              <w:left w:val="single" w:sz="4" w:space="0" w:color="auto"/>
              <w:bottom w:val="single" w:sz="4" w:space="0" w:color="auto"/>
              <w:right w:val="single" w:sz="4" w:space="0" w:color="auto"/>
            </w:tcBorders>
            <w:hideMark/>
          </w:tcPr>
          <w:p w14:paraId="5A561D7C" w14:textId="77777777" w:rsidR="00F96011" w:rsidRPr="00F96011" w:rsidRDefault="00F96011" w:rsidP="008A6B56">
            <w:pPr>
              <w:spacing w:line="240" w:lineRule="auto"/>
              <w:jc w:val="both"/>
            </w:pPr>
            <w:r w:rsidRPr="00F96011">
              <w:t>- Quantité moyenne consommée par personne pour les ménages</w:t>
            </w:r>
          </w:p>
          <w:p w14:paraId="34B60620" w14:textId="77777777" w:rsidR="00F96011" w:rsidRPr="00F96011" w:rsidRDefault="00F96011" w:rsidP="008A6B56">
            <w:pPr>
              <w:spacing w:line="240" w:lineRule="auto"/>
              <w:jc w:val="both"/>
            </w:pPr>
            <w:r w:rsidRPr="00F96011">
              <w:t>- Quantité moyenne consommée par type de gros consommateurs</w:t>
            </w:r>
          </w:p>
        </w:tc>
      </w:tr>
      <w:tr w:rsidR="00F96011" w:rsidRPr="00F96011" w14:paraId="00DFDC23"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4A565C54" w14:textId="77777777" w:rsidR="00F96011" w:rsidRPr="00F96011" w:rsidRDefault="00F96011" w:rsidP="008A6B56">
            <w:pPr>
              <w:spacing w:line="240" w:lineRule="auto"/>
              <w:rPr>
                <w:b/>
                <w:bCs/>
              </w:rPr>
            </w:pPr>
            <w:r w:rsidRPr="00F96011">
              <w:rPr>
                <w:b/>
                <w:bCs/>
              </w:rPr>
              <w:t>Fiche de collecte correspondante</w:t>
            </w:r>
          </w:p>
        </w:tc>
        <w:tc>
          <w:tcPr>
            <w:tcW w:w="3986" w:type="pct"/>
            <w:gridSpan w:val="3"/>
            <w:tcBorders>
              <w:top w:val="single" w:sz="4" w:space="0" w:color="auto"/>
              <w:left w:val="single" w:sz="4" w:space="0" w:color="auto"/>
              <w:bottom w:val="single" w:sz="4" w:space="0" w:color="auto"/>
              <w:right w:val="single" w:sz="4" w:space="0" w:color="auto"/>
            </w:tcBorders>
            <w:hideMark/>
          </w:tcPr>
          <w:p w14:paraId="6E20F18F" w14:textId="77777777" w:rsidR="00F96011" w:rsidRPr="00F96011" w:rsidRDefault="00F96011" w:rsidP="008A6B56">
            <w:pPr>
              <w:spacing w:line="240" w:lineRule="auto"/>
              <w:jc w:val="both"/>
              <w:rPr>
                <w:i/>
                <w:iCs/>
              </w:rPr>
            </w:pPr>
            <w:r w:rsidRPr="00F96011">
              <w:rPr>
                <w:i/>
                <w:iCs/>
              </w:rPr>
              <w:t>Fiche d’enquête consommateurs</w:t>
            </w:r>
          </w:p>
        </w:tc>
      </w:tr>
      <w:tr w:rsidR="00F96011" w:rsidRPr="00F96011" w14:paraId="3759D8C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270CCE75" w14:textId="77777777" w:rsidR="00F96011" w:rsidRPr="00F96011" w:rsidRDefault="00F96011" w:rsidP="008A6B56">
            <w:pPr>
              <w:spacing w:line="240" w:lineRule="auto"/>
              <w:rPr>
                <w:b/>
                <w:bCs/>
              </w:rPr>
            </w:pPr>
            <w:r w:rsidRPr="00F96011">
              <w:rPr>
                <w:b/>
                <w:bCs/>
              </w:rPr>
              <w:t>Paramètres mis en jeu (données à collecter)</w:t>
            </w:r>
          </w:p>
        </w:tc>
        <w:tc>
          <w:tcPr>
            <w:tcW w:w="3986" w:type="pct"/>
            <w:gridSpan w:val="3"/>
            <w:tcBorders>
              <w:top w:val="single" w:sz="4" w:space="0" w:color="auto"/>
              <w:left w:val="single" w:sz="4" w:space="0" w:color="auto"/>
              <w:bottom w:val="single" w:sz="4" w:space="0" w:color="auto"/>
              <w:right w:val="single" w:sz="4" w:space="0" w:color="auto"/>
            </w:tcBorders>
            <w:hideMark/>
          </w:tcPr>
          <w:p w14:paraId="31592AA2" w14:textId="77777777" w:rsidR="00F96011" w:rsidRPr="00F96011" w:rsidRDefault="00F96011" w:rsidP="008A6B56">
            <w:pPr>
              <w:spacing w:line="240" w:lineRule="auto"/>
              <w:contextualSpacing/>
            </w:pPr>
            <w:r w:rsidRPr="00F96011">
              <w:t>- Types d’énergie d’alternatives</w:t>
            </w:r>
            <w:r w:rsidRPr="00F96011">
              <w:rPr>
                <w:b/>
                <w:bCs/>
              </w:rPr>
              <w:t xml:space="preserve"> </w:t>
            </w:r>
            <w:r w:rsidRPr="00F96011">
              <w:t>de cuisson adoptée par le ménage</w:t>
            </w:r>
          </w:p>
          <w:p w14:paraId="44C55CCF" w14:textId="77777777" w:rsidR="00F96011" w:rsidRPr="00F96011" w:rsidRDefault="00F96011" w:rsidP="008A6B56">
            <w:pPr>
              <w:spacing w:line="240" w:lineRule="auto"/>
              <w:contextualSpacing/>
            </w:pPr>
            <w:r w:rsidRPr="00F96011">
              <w:t>- Types d’énergie d’alternatives</w:t>
            </w:r>
            <w:r w:rsidRPr="00F96011">
              <w:rPr>
                <w:b/>
                <w:bCs/>
              </w:rPr>
              <w:t xml:space="preserve"> </w:t>
            </w:r>
            <w:r w:rsidRPr="00F96011">
              <w:t>de cuisson adoptée par gros consommateurs</w:t>
            </w:r>
          </w:p>
          <w:p w14:paraId="62864C1F" w14:textId="77777777" w:rsidR="00F96011" w:rsidRPr="00F96011" w:rsidRDefault="00F96011" w:rsidP="008A6B56">
            <w:pPr>
              <w:spacing w:line="240" w:lineRule="auto"/>
              <w:contextualSpacing/>
            </w:pPr>
            <w:r w:rsidRPr="00F96011">
              <w:t>- Quantité de l’alternative consommée par ménage</w:t>
            </w:r>
          </w:p>
          <w:p w14:paraId="55233E64" w14:textId="77777777" w:rsidR="00F96011" w:rsidRPr="00F96011" w:rsidRDefault="00F96011" w:rsidP="008A6B56">
            <w:pPr>
              <w:spacing w:line="240" w:lineRule="auto"/>
              <w:contextualSpacing/>
            </w:pPr>
            <w:r w:rsidRPr="00F96011">
              <w:t>- Quantité de l’alternative consommée par type de gros consommateurs</w:t>
            </w:r>
          </w:p>
          <w:p w14:paraId="441D6934" w14:textId="77777777" w:rsidR="00F96011" w:rsidRPr="00F96011" w:rsidRDefault="00F96011" w:rsidP="008A6B56">
            <w:pPr>
              <w:spacing w:line="240" w:lineRule="auto"/>
              <w:contextualSpacing/>
            </w:pPr>
            <w:r w:rsidRPr="00F96011">
              <w:t>- Prix unitaire de l’alternative consommée</w:t>
            </w:r>
          </w:p>
        </w:tc>
      </w:tr>
      <w:tr w:rsidR="00F96011" w:rsidRPr="00F96011" w14:paraId="7C059351"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CDEA29D" w14:textId="77777777" w:rsidR="00F96011" w:rsidRPr="00F96011" w:rsidRDefault="00F96011" w:rsidP="008A6B56">
            <w:pPr>
              <w:spacing w:line="240" w:lineRule="auto"/>
              <w:rPr>
                <w:b/>
                <w:bCs/>
              </w:rPr>
            </w:pPr>
            <w:r w:rsidRPr="00F96011">
              <w:rPr>
                <w:b/>
                <w:bCs/>
              </w:rPr>
              <w:t>Méthode de collecte</w:t>
            </w:r>
          </w:p>
        </w:tc>
        <w:tc>
          <w:tcPr>
            <w:tcW w:w="3986" w:type="pct"/>
            <w:gridSpan w:val="3"/>
            <w:tcBorders>
              <w:top w:val="single" w:sz="4" w:space="0" w:color="auto"/>
              <w:left w:val="single" w:sz="4" w:space="0" w:color="auto"/>
              <w:bottom w:val="single" w:sz="4" w:space="0" w:color="auto"/>
              <w:right w:val="single" w:sz="4" w:space="0" w:color="auto"/>
            </w:tcBorders>
            <w:hideMark/>
          </w:tcPr>
          <w:p w14:paraId="541123B8" w14:textId="77777777" w:rsidR="00F96011" w:rsidRPr="00F96011" w:rsidRDefault="00F96011" w:rsidP="008A6B56">
            <w:pPr>
              <w:spacing w:line="240" w:lineRule="auto"/>
              <w:jc w:val="both"/>
            </w:pPr>
            <w:r w:rsidRPr="00F96011">
              <w:t xml:space="preserve">Par enquêtes ménage et gros consommateurs </w:t>
            </w:r>
          </w:p>
          <w:p w14:paraId="30943D03" w14:textId="77777777" w:rsidR="00F96011" w:rsidRPr="00670132" w:rsidRDefault="00F96011" w:rsidP="008A6B56">
            <w:pPr>
              <w:spacing w:line="240" w:lineRule="auto"/>
              <w:jc w:val="both"/>
            </w:pPr>
            <w:r w:rsidRPr="00670132">
              <w:t xml:space="preserve">Une formation sommaire des enquêteurs s’impose portant sur les objectifs et techniques de collecte de données afin qu’ils puissent agir avec le minimum de professionnalisme. </w:t>
            </w:r>
          </w:p>
          <w:p w14:paraId="41F55689" w14:textId="77777777" w:rsidR="00F96011" w:rsidRPr="00F96011" w:rsidRDefault="00F96011" w:rsidP="008A6B56">
            <w:pPr>
              <w:spacing w:line="240" w:lineRule="auto"/>
              <w:jc w:val="both"/>
            </w:pPr>
            <w:r w:rsidRPr="00F96011">
              <w:t xml:space="preserve">L’identification préalable des cibles, notamment les gros consommateurs sera nécessaire afin d’orienter les échantillonnages adoptés. </w:t>
            </w:r>
          </w:p>
        </w:tc>
      </w:tr>
      <w:tr w:rsidR="00F96011" w:rsidRPr="00F96011" w14:paraId="23291C32" w14:textId="77777777" w:rsidTr="00F96011">
        <w:trPr>
          <w:trHeight w:val="174"/>
        </w:trPr>
        <w:tc>
          <w:tcPr>
            <w:tcW w:w="1014" w:type="pct"/>
            <w:vMerge w:val="restart"/>
            <w:tcBorders>
              <w:top w:val="single" w:sz="4" w:space="0" w:color="auto"/>
              <w:left w:val="single" w:sz="4" w:space="0" w:color="auto"/>
              <w:bottom w:val="single" w:sz="4" w:space="0" w:color="auto"/>
              <w:right w:val="single" w:sz="4" w:space="0" w:color="auto"/>
            </w:tcBorders>
            <w:hideMark/>
          </w:tcPr>
          <w:p w14:paraId="7CF18A8D" w14:textId="77777777" w:rsidR="00F96011" w:rsidRPr="00F96011" w:rsidRDefault="00F96011" w:rsidP="008A6B56">
            <w:pPr>
              <w:spacing w:line="240" w:lineRule="auto"/>
              <w:rPr>
                <w:b/>
                <w:bCs/>
              </w:rPr>
            </w:pPr>
            <w:r w:rsidRPr="00F96011">
              <w:rPr>
                <w:b/>
                <w:bCs/>
              </w:rPr>
              <w:t xml:space="preserve">Méthode de calcul </w:t>
            </w:r>
          </w:p>
        </w:tc>
        <w:tc>
          <w:tcPr>
            <w:tcW w:w="1993" w:type="pct"/>
            <w:gridSpan w:val="2"/>
            <w:tcBorders>
              <w:top w:val="single" w:sz="4" w:space="0" w:color="auto"/>
              <w:left w:val="single" w:sz="4" w:space="0" w:color="auto"/>
              <w:bottom w:val="nil"/>
              <w:right w:val="nil"/>
            </w:tcBorders>
            <w:hideMark/>
          </w:tcPr>
          <w:p w14:paraId="595D3470" w14:textId="77777777" w:rsidR="00F96011" w:rsidRPr="00F96011" w:rsidRDefault="00F96011" w:rsidP="008A6B56">
            <w:pPr>
              <w:spacing w:line="240" w:lineRule="auto"/>
              <w:jc w:val="right"/>
            </w:pPr>
            <w:r w:rsidRPr="00F96011">
              <w:rPr>
                <w:i/>
                <w:iCs/>
                <w:sz w:val="20"/>
                <w:szCs w:val="20"/>
              </w:rPr>
              <w:t xml:space="preserve">Dépense annuelle par type d’énergie de cuisson alternative par ménage (District) </w:t>
            </w:r>
          </w:p>
        </w:tc>
        <w:tc>
          <w:tcPr>
            <w:tcW w:w="1993" w:type="pct"/>
            <w:tcBorders>
              <w:top w:val="single" w:sz="4" w:space="0" w:color="auto"/>
              <w:left w:val="nil"/>
              <w:bottom w:val="nil"/>
              <w:right w:val="single" w:sz="4" w:space="0" w:color="auto"/>
            </w:tcBorders>
            <w:hideMark/>
          </w:tcPr>
          <w:p w14:paraId="68B304D8" w14:textId="7E0F1775" w:rsidR="00F96011" w:rsidRDefault="00F96011" w:rsidP="008A6B56">
            <w:pPr>
              <w:spacing w:line="240" w:lineRule="auto"/>
              <w:rPr>
                <w:i/>
                <w:iCs/>
                <w:sz w:val="20"/>
                <w:szCs w:val="20"/>
              </w:rPr>
            </w:pPr>
            <w:r w:rsidRPr="00F96011">
              <w:rPr>
                <w:i/>
                <w:iCs/>
                <w:sz w:val="20"/>
                <w:szCs w:val="20"/>
              </w:rPr>
              <w:t>= (Dépense annuelle en énergie de cuisson alternative + Dépense annuelle en équipements) par ménage</w:t>
            </w:r>
          </w:p>
          <w:p w14:paraId="2403DFD0" w14:textId="77777777" w:rsidR="00450B96" w:rsidRDefault="00450B96" w:rsidP="008A6B56">
            <w:pPr>
              <w:spacing w:line="240" w:lineRule="auto"/>
              <w:rPr>
                <w:i/>
                <w:iCs/>
                <w:sz w:val="20"/>
                <w:szCs w:val="20"/>
              </w:rPr>
            </w:pPr>
          </w:p>
          <w:p w14:paraId="67B19835" w14:textId="00C38ADE" w:rsidR="00A20D43" w:rsidRPr="00F96011" w:rsidRDefault="00A20D43" w:rsidP="008A6B56">
            <w:pPr>
              <w:spacing w:line="240" w:lineRule="auto"/>
            </w:pPr>
          </w:p>
        </w:tc>
      </w:tr>
      <w:tr w:rsidR="00F96011" w:rsidRPr="00F96011" w14:paraId="308851E8" w14:textId="77777777" w:rsidTr="00F9601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2B7610"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4D5D4417" w14:textId="77777777" w:rsidR="00F96011" w:rsidRPr="00F96011" w:rsidRDefault="00F96011" w:rsidP="008A6B56">
            <w:pPr>
              <w:spacing w:line="240" w:lineRule="auto"/>
              <w:jc w:val="right"/>
            </w:pPr>
            <w:r w:rsidRPr="00F96011">
              <w:rPr>
                <w:i/>
                <w:iCs/>
                <w:sz w:val="20"/>
                <w:szCs w:val="20"/>
              </w:rPr>
              <w:t xml:space="preserve">Dépense annuelle par type d’énergie de cuisson alternative par gros consommateur (District) </w:t>
            </w:r>
          </w:p>
        </w:tc>
        <w:tc>
          <w:tcPr>
            <w:tcW w:w="1993" w:type="pct"/>
            <w:tcBorders>
              <w:top w:val="nil"/>
              <w:left w:val="nil"/>
              <w:bottom w:val="nil"/>
              <w:right w:val="single" w:sz="4" w:space="0" w:color="auto"/>
            </w:tcBorders>
            <w:hideMark/>
          </w:tcPr>
          <w:p w14:paraId="0C804285" w14:textId="43ADEF3A" w:rsidR="00F96011" w:rsidRDefault="00F96011" w:rsidP="008A6B56">
            <w:pPr>
              <w:spacing w:line="240" w:lineRule="auto"/>
              <w:rPr>
                <w:i/>
                <w:iCs/>
                <w:sz w:val="20"/>
                <w:szCs w:val="20"/>
              </w:rPr>
            </w:pPr>
            <w:r w:rsidRPr="00F96011">
              <w:rPr>
                <w:i/>
                <w:iCs/>
                <w:sz w:val="20"/>
                <w:szCs w:val="20"/>
              </w:rPr>
              <w:t>= (Dépense annuelle en énergie de cuisson alternative + Dépense annuelle en équipements) par gros consommateur</w:t>
            </w:r>
          </w:p>
          <w:p w14:paraId="02BF548C" w14:textId="77777777" w:rsidR="00450B96" w:rsidRDefault="00450B96" w:rsidP="008A6B56">
            <w:pPr>
              <w:spacing w:line="240" w:lineRule="auto"/>
              <w:rPr>
                <w:i/>
                <w:iCs/>
                <w:sz w:val="20"/>
                <w:szCs w:val="20"/>
              </w:rPr>
            </w:pPr>
          </w:p>
          <w:p w14:paraId="0E09FF00" w14:textId="36CDB407" w:rsidR="00A20D43" w:rsidRPr="00F96011" w:rsidRDefault="00A20D43" w:rsidP="008A6B56">
            <w:pPr>
              <w:spacing w:line="240" w:lineRule="auto"/>
            </w:pPr>
          </w:p>
        </w:tc>
      </w:tr>
      <w:tr w:rsidR="00F96011" w:rsidRPr="00F96011" w14:paraId="025AACCB" w14:textId="77777777" w:rsidTr="00F9601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AFFE1" w14:textId="77777777" w:rsidR="00F96011" w:rsidRPr="00F96011" w:rsidRDefault="00F96011" w:rsidP="008A6B56">
            <w:pPr>
              <w:spacing w:line="240" w:lineRule="auto"/>
              <w:rPr>
                <w:b/>
                <w:bCs/>
              </w:rPr>
            </w:pPr>
          </w:p>
        </w:tc>
        <w:tc>
          <w:tcPr>
            <w:tcW w:w="1993" w:type="pct"/>
            <w:gridSpan w:val="2"/>
            <w:tcBorders>
              <w:top w:val="nil"/>
              <w:left w:val="single" w:sz="4" w:space="0" w:color="auto"/>
              <w:bottom w:val="nil"/>
              <w:right w:val="nil"/>
            </w:tcBorders>
            <w:hideMark/>
          </w:tcPr>
          <w:p w14:paraId="38F74955" w14:textId="77777777" w:rsidR="00F96011" w:rsidRPr="00F96011" w:rsidRDefault="00F96011" w:rsidP="008A6B56">
            <w:pPr>
              <w:spacing w:line="240" w:lineRule="auto"/>
              <w:jc w:val="right"/>
            </w:pPr>
            <w:r w:rsidRPr="00F96011">
              <w:rPr>
                <w:i/>
                <w:iCs/>
                <w:sz w:val="20"/>
                <w:szCs w:val="20"/>
              </w:rPr>
              <w:t xml:space="preserve">Dépense moyenne annuelle par type d’énergie de cuisson alternative par ménage (National) </w:t>
            </w:r>
          </w:p>
        </w:tc>
        <w:tc>
          <w:tcPr>
            <w:tcW w:w="1993" w:type="pct"/>
            <w:tcBorders>
              <w:top w:val="nil"/>
              <w:left w:val="nil"/>
              <w:bottom w:val="nil"/>
              <w:right w:val="single" w:sz="4" w:space="0" w:color="auto"/>
            </w:tcBorders>
            <w:hideMark/>
          </w:tcPr>
          <w:p w14:paraId="0BB5DF4E" w14:textId="011B357C" w:rsidR="00F96011" w:rsidRDefault="00F96011" w:rsidP="008A6B56">
            <w:pPr>
              <w:spacing w:line="240" w:lineRule="auto"/>
              <w:rPr>
                <w:i/>
                <w:iCs/>
                <w:sz w:val="20"/>
                <w:szCs w:val="20"/>
              </w:rPr>
            </w:pPr>
            <w:r w:rsidRPr="00F96011">
              <w:rPr>
                <w:i/>
                <w:iCs/>
                <w:sz w:val="20"/>
                <w:szCs w:val="20"/>
              </w:rPr>
              <w:t>= Somme dépense annuelle par type d’énergie de cuisson alternative par ménage / Nombre de ménages enquêtés</w:t>
            </w:r>
          </w:p>
          <w:p w14:paraId="0BDF997D" w14:textId="77777777" w:rsidR="00450B96" w:rsidRDefault="00450B96" w:rsidP="008A6B56">
            <w:pPr>
              <w:spacing w:line="240" w:lineRule="auto"/>
              <w:rPr>
                <w:i/>
                <w:iCs/>
                <w:sz w:val="20"/>
                <w:szCs w:val="20"/>
              </w:rPr>
            </w:pPr>
          </w:p>
          <w:p w14:paraId="01C51F9E" w14:textId="2F8490DB" w:rsidR="00A20D43" w:rsidRPr="00F96011" w:rsidRDefault="00A20D43" w:rsidP="008A6B56">
            <w:pPr>
              <w:spacing w:line="240" w:lineRule="auto"/>
            </w:pPr>
          </w:p>
        </w:tc>
      </w:tr>
      <w:tr w:rsidR="00F96011" w:rsidRPr="00F96011" w14:paraId="3C964132" w14:textId="77777777" w:rsidTr="00F9601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A3AAA8" w14:textId="77777777" w:rsidR="00F96011" w:rsidRPr="00F96011" w:rsidRDefault="00F96011" w:rsidP="008A6B56">
            <w:pPr>
              <w:spacing w:line="240" w:lineRule="auto"/>
              <w:rPr>
                <w:b/>
                <w:bCs/>
              </w:rPr>
            </w:pPr>
          </w:p>
        </w:tc>
        <w:tc>
          <w:tcPr>
            <w:tcW w:w="1993" w:type="pct"/>
            <w:gridSpan w:val="2"/>
            <w:tcBorders>
              <w:top w:val="nil"/>
              <w:left w:val="single" w:sz="4" w:space="0" w:color="auto"/>
              <w:bottom w:val="single" w:sz="4" w:space="0" w:color="auto"/>
              <w:right w:val="nil"/>
            </w:tcBorders>
            <w:hideMark/>
          </w:tcPr>
          <w:p w14:paraId="00D6E7BD" w14:textId="77777777" w:rsidR="00F96011" w:rsidRPr="00F96011" w:rsidRDefault="00F96011" w:rsidP="008A6B56">
            <w:pPr>
              <w:spacing w:line="240" w:lineRule="auto"/>
              <w:jc w:val="right"/>
            </w:pPr>
            <w:r w:rsidRPr="00F96011">
              <w:rPr>
                <w:i/>
                <w:iCs/>
                <w:sz w:val="20"/>
                <w:szCs w:val="20"/>
              </w:rPr>
              <w:t xml:space="preserve">Dépense moyenne annuelle par type d’énergie de cuisson alternative par gros consommateur (National) </w:t>
            </w:r>
          </w:p>
        </w:tc>
        <w:tc>
          <w:tcPr>
            <w:tcW w:w="1993" w:type="pct"/>
            <w:tcBorders>
              <w:top w:val="nil"/>
              <w:left w:val="nil"/>
              <w:bottom w:val="single" w:sz="4" w:space="0" w:color="auto"/>
              <w:right w:val="single" w:sz="4" w:space="0" w:color="auto"/>
            </w:tcBorders>
            <w:hideMark/>
          </w:tcPr>
          <w:p w14:paraId="4F850178" w14:textId="77777777" w:rsidR="00F96011" w:rsidRPr="00F96011" w:rsidRDefault="00F96011" w:rsidP="008A6B56">
            <w:pPr>
              <w:spacing w:line="240" w:lineRule="auto"/>
            </w:pPr>
            <w:r w:rsidRPr="00F96011">
              <w:rPr>
                <w:i/>
                <w:iCs/>
                <w:sz w:val="20"/>
                <w:szCs w:val="20"/>
              </w:rPr>
              <w:t>= Somme dépense annuelle par type d’énergie de cuisson alternative par gros consommateurs / Nombre de gros consommateurs enquêtés</w:t>
            </w:r>
          </w:p>
        </w:tc>
      </w:tr>
      <w:tr w:rsidR="00F96011" w:rsidRPr="00F96011" w14:paraId="13CEF110"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6B4FEFFB" w14:textId="77777777" w:rsidR="00F96011" w:rsidRPr="00F96011" w:rsidRDefault="00F96011" w:rsidP="008A6B56">
            <w:pPr>
              <w:spacing w:line="240" w:lineRule="auto"/>
              <w:rPr>
                <w:b/>
                <w:bCs/>
              </w:rPr>
            </w:pPr>
            <w:r w:rsidRPr="00F96011">
              <w:rPr>
                <w:b/>
                <w:bCs/>
              </w:rPr>
              <w:t>Unité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74B661B2" w14:textId="77777777" w:rsidR="00F96011" w:rsidRPr="00F96011" w:rsidRDefault="00F96011" w:rsidP="008A6B56">
            <w:pPr>
              <w:spacing w:line="240" w:lineRule="auto"/>
            </w:pPr>
            <w:r w:rsidRPr="00F96011">
              <w:t>Ariary</w:t>
            </w:r>
          </w:p>
        </w:tc>
      </w:tr>
      <w:tr w:rsidR="00F96011" w:rsidRPr="00F96011" w14:paraId="34CBBA4B"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502AEFC" w14:textId="77777777" w:rsidR="00F96011" w:rsidRPr="00F96011" w:rsidRDefault="00F96011" w:rsidP="008A6B56">
            <w:pPr>
              <w:spacing w:line="240" w:lineRule="auto"/>
              <w:rPr>
                <w:b/>
                <w:bCs/>
              </w:rPr>
            </w:pPr>
            <w:r w:rsidRPr="00F96011">
              <w:rPr>
                <w:b/>
                <w:bCs/>
              </w:rPr>
              <w:t>Périodicité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52FFA78D" w14:textId="77777777" w:rsidR="00F96011" w:rsidRPr="00F96011" w:rsidRDefault="00F96011" w:rsidP="008A6B56">
            <w:pPr>
              <w:spacing w:line="240" w:lineRule="auto"/>
            </w:pPr>
            <w:r w:rsidRPr="00F96011">
              <w:t>Chaque année</w:t>
            </w:r>
          </w:p>
        </w:tc>
      </w:tr>
      <w:tr w:rsidR="00F96011" w:rsidRPr="00F96011" w14:paraId="119090AA"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06B6A292" w14:textId="77777777" w:rsidR="00F96011" w:rsidRPr="00F96011" w:rsidRDefault="00F96011" w:rsidP="008A6B56">
            <w:pPr>
              <w:spacing w:line="240" w:lineRule="auto"/>
              <w:rPr>
                <w:b/>
                <w:bCs/>
              </w:rPr>
            </w:pPr>
            <w:r w:rsidRPr="00F96011">
              <w:rPr>
                <w:b/>
                <w:bCs/>
              </w:rPr>
              <w:t>Rapportage</w:t>
            </w:r>
          </w:p>
        </w:tc>
        <w:tc>
          <w:tcPr>
            <w:tcW w:w="3986" w:type="pct"/>
            <w:gridSpan w:val="3"/>
            <w:tcBorders>
              <w:top w:val="single" w:sz="4" w:space="0" w:color="auto"/>
              <w:left w:val="single" w:sz="4" w:space="0" w:color="auto"/>
              <w:bottom w:val="single" w:sz="4" w:space="0" w:color="auto"/>
              <w:right w:val="single" w:sz="4" w:space="0" w:color="auto"/>
            </w:tcBorders>
            <w:hideMark/>
          </w:tcPr>
          <w:p w14:paraId="27876DEB" w14:textId="77777777" w:rsidR="00F96011" w:rsidRPr="00F96011" w:rsidRDefault="00F96011" w:rsidP="008A6B56">
            <w:pPr>
              <w:spacing w:line="240" w:lineRule="auto"/>
              <w:jc w:val="both"/>
            </w:pPr>
            <w:r w:rsidRPr="00F96011">
              <w:t>Le rapportage de cet indicateur doit se faire chaque année en envoyant les données collectées au niveau local (District) vers les niveaux régional et central jusqu’en mois d’Août de l’année en cours. Un rapport régional par Région doit être réaliser au mois de Novembre (par les services régionaux en charge des reboisements). Le rapport national établit par le service central en charge des reboisements sera attendu au mois de Décembre de la même année.</w:t>
            </w:r>
          </w:p>
        </w:tc>
      </w:tr>
      <w:tr w:rsidR="00F96011" w:rsidRPr="00F96011" w14:paraId="20D5E984" w14:textId="77777777" w:rsidTr="00F96011">
        <w:tc>
          <w:tcPr>
            <w:tcW w:w="1014" w:type="pct"/>
            <w:tcBorders>
              <w:top w:val="single" w:sz="4" w:space="0" w:color="auto"/>
              <w:left w:val="single" w:sz="4" w:space="0" w:color="auto"/>
              <w:bottom w:val="single" w:sz="4" w:space="0" w:color="auto"/>
              <w:right w:val="single" w:sz="4" w:space="0" w:color="auto"/>
            </w:tcBorders>
            <w:hideMark/>
          </w:tcPr>
          <w:p w14:paraId="720A7763" w14:textId="77777777" w:rsidR="00F96011" w:rsidRPr="00F96011" w:rsidRDefault="00F96011" w:rsidP="008A6B56">
            <w:pPr>
              <w:spacing w:line="240" w:lineRule="auto"/>
              <w:rPr>
                <w:b/>
                <w:bCs/>
              </w:rPr>
            </w:pPr>
            <w:r w:rsidRPr="00F96011">
              <w:rPr>
                <w:b/>
                <w:bCs/>
              </w:rPr>
              <w:t>Fiabilité</w:t>
            </w:r>
          </w:p>
        </w:tc>
        <w:tc>
          <w:tcPr>
            <w:tcW w:w="3986" w:type="pct"/>
            <w:gridSpan w:val="3"/>
            <w:tcBorders>
              <w:top w:val="single" w:sz="4" w:space="0" w:color="auto"/>
              <w:left w:val="single" w:sz="4" w:space="0" w:color="auto"/>
              <w:bottom w:val="single" w:sz="4" w:space="0" w:color="auto"/>
              <w:right w:val="single" w:sz="4" w:space="0" w:color="auto"/>
            </w:tcBorders>
            <w:hideMark/>
          </w:tcPr>
          <w:p w14:paraId="1693028F" w14:textId="77777777" w:rsidR="00F96011" w:rsidRPr="00F96011" w:rsidRDefault="00F96011" w:rsidP="008A6B56">
            <w:pPr>
              <w:spacing w:line="240" w:lineRule="auto"/>
            </w:pPr>
            <w:r w:rsidRPr="00F96011">
              <w:t>Bonne</w:t>
            </w:r>
          </w:p>
        </w:tc>
      </w:tr>
    </w:tbl>
    <w:p w14:paraId="0F0FABD6" w14:textId="77777777" w:rsidR="0013533D" w:rsidRDefault="0013533D" w:rsidP="00863AD4">
      <w:pPr>
        <w:spacing w:line="360" w:lineRule="auto"/>
      </w:pPr>
      <w:r>
        <w:br w:type="page"/>
      </w:r>
    </w:p>
    <w:p w14:paraId="02CE6EFA" w14:textId="77777777" w:rsidR="00710860" w:rsidRPr="00C90CE1" w:rsidRDefault="00710860" w:rsidP="00710860">
      <w:pPr>
        <w:pStyle w:val="Titre1"/>
        <w:numPr>
          <w:ilvl w:val="0"/>
          <w:numId w:val="15"/>
        </w:numPr>
        <w:spacing w:before="0" w:after="0" w:line="360" w:lineRule="auto"/>
        <w:rPr>
          <w:rFonts w:asciiTheme="minorHAnsi" w:hAnsiTheme="minorHAnsi" w:cstheme="minorHAnsi"/>
        </w:rPr>
      </w:pPr>
      <w:bookmarkStart w:id="29" w:name="_Toc75159831"/>
      <w:bookmarkStart w:id="30" w:name="_Toc75162468"/>
      <w:bookmarkStart w:id="31" w:name="_Toc74726063"/>
      <w:r w:rsidRPr="00C90CE1">
        <w:rPr>
          <w:rFonts w:asciiTheme="minorHAnsi" w:hAnsiTheme="minorHAnsi" w:cstheme="minorHAnsi"/>
        </w:rPr>
        <w:lastRenderedPageBreak/>
        <w:t>Fonctionnement et circulation des données</w:t>
      </w:r>
      <w:bookmarkEnd w:id="29"/>
      <w:bookmarkEnd w:id="30"/>
      <w:r w:rsidRPr="00C90CE1">
        <w:rPr>
          <w:rFonts w:asciiTheme="minorHAnsi" w:hAnsiTheme="minorHAnsi" w:cstheme="minorHAnsi"/>
        </w:rPr>
        <w:t xml:space="preserve"> </w:t>
      </w:r>
      <w:bookmarkEnd w:id="31"/>
    </w:p>
    <w:p w14:paraId="448420AC" w14:textId="77777777" w:rsidR="00710860" w:rsidRDefault="00710860" w:rsidP="00710860">
      <w:pPr>
        <w:spacing w:line="360" w:lineRule="auto"/>
        <w:jc w:val="both"/>
        <w:rPr>
          <w:rFonts w:eastAsiaTheme="majorEastAsia" w:cstheme="minorHAnsi"/>
        </w:rPr>
      </w:pPr>
      <w:r w:rsidRPr="002A462E">
        <w:rPr>
          <w:rFonts w:eastAsiaTheme="majorEastAsia" w:cstheme="minorHAnsi"/>
        </w:rPr>
        <w:t>Plusieurs acteurs des différents secteurs concernés sont à mobiliser pour assurer le bon fonctionnement d</w:t>
      </w:r>
      <w:r>
        <w:rPr>
          <w:rFonts w:eastAsiaTheme="majorEastAsia" w:cstheme="minorHAnsi"/>
        </w:rPr>
        <w:t>u système dans le but de fournir des informations de référence nationale sur la situation de la filière bois énergie et l’adoption d’alternative de cuisson. Ce système de suivi sera ancré au sein du Ministère en charge des forêts, c’est-à-dire qu’il sera localisé institutionnellement au sein de ce Ministère étant donné qu’on parle de bois énergie en premier lieu et qu’il dispose plusieurs entités déconcentrées (District, Région) qui pourra faciliter le suivi et la remontée des données collectées au niveau local.</w:t>
      </w:r>
      <w:r w:rsidRPr="00480699">
        <w:rPr>
          <w:rFonts w:eastAsiaTheme="majorEastAsia" w:cstheme="minorHAnsi"/>
        </w:rPr>
        <w:t xml:space="preserve"> </w:t>
      </w:r>
      <w:r>
        <w:rPr>
          <w:rFonts w:eastAsiaTheme="majorEastAsia" w:cstheme="minorHAnsi"/>
        </w:rPr>
        <w:t xml:space="preserve">Cette indication a été d’ailleurs confortée par les personnes consultées qui reconnaissent toutefois l’existence des lacunes et des insuffisances au sein de cette administration, lesquelles sont à combler et à relever rapidement, pour un fonctionnement optimal du système de suivi.  Néanmoins, les autres institutions ne seront pas épargnées et participeront également dans la fourniture de données, la vérification et la réception des données en fonction de leurs intérêts et besoins respectifs. </w:t>
      </w:r>
    </w:p>
    <w:p w14:paraId="1BE634A4" w14:textId="77777777" w:rsidR="00710860" w:rsidRDefault="00710860" w:rsidP="00710860">
      <w:pPr>
        <w:spacing w:after="0" w:line="360" w:lineRule="auto"/>
        <w:jc w:val="both"/>
        <w:rPr>
          <w:rFonts w:eastAsiaTheme="majorEastAsia" w:cstheme="minorHAnsi"/>
        </w:rPr>
      </w:pPr>
      <w:r w:rsidRPr="007139CF">
        <w:rPr>
          <w:rFonts w:eastAsiaTheme="majorEastAsia" w:cstheme="minorHAnsi"/>
        </w:rPr>
        <w:t xml:space="preserve">La circulation des informations </w:t>
      </w:r>
      <w:r>
        <w:rPr>
          <w:rFonts w:eastAsiaTheme="majorEastAsia" w:cstheme="minorHAnsi"/>
        </w:rPr>
        <w:t>et les principales activités du système de suivi avec les acteurs responsable de chaque activité sont</w:t>
      </w:r>
      <w:r w:rsidRPr="007139CF">
        <w:rPr>
          <w:rFonts w:eastAsiaTheme="majorEastAsia" w:cstheme="minorHAnsi"/>
        </w:rPr>
        <w:t xml:space="preserve"> présenté</w:t>
      </w:r>
      <w:r>
        <w:rPr>
          <w:rFonts w:eastAsiaTheme="majorEastAsia" w:cstheme="minorHAnsi"/>
        </w:rPr>
        <w:t>es</w:t>
      </w:r>
      <w:r w:rsidRPr="007139CF">
        <w:rPr>
          <w:rFonts w:eastAsiaTheme="majorEastAsia" w:cstheme="minorHAnsi"/>
        </w:rPr>
        <w:t xml:space="preserve"> dans l</w:t>
      </w:r>
      <w:r>
        <w:rPr>
          <w:rFonts w:eastAsiaTheme="majorEastAsia" w:cstheme="minorHAnsi"/>
        </w:rPr>
        <w:t>es</w:t>
      </w:r>
      <w:r w:rsidRPr="007139CF">
        <w:rPr>
          <w:rFonts w:eastAsiaTheme="majorEastAsia" w:cstheme="minorHAnsi"/>
        </w:rPr>
        <w:t xml:space="preserve"> figure</w:t>
      </w:r>
      <w:r>
        <w:rPr>
          <w:rFonts w:eastAsiaTheme="majorEastAsia" w:cstheme="minorHAnsi"/>
        </w:rPr>
        <w:t>s</w:t>
      </w:r>
      <w:r w:rsidRPr="007139CF">
        <w:rPr>
          <w:rFonts w:eastAsiaTheme="majorEastAsia" w:cstheme="minorHAnsi"/>
        </w:rPr>
        <w:t xml:space="preserve"> ci-après</w:t>
      </w:r>
      <w:r>
        <w:rPr>
          <w:rFonts w:eastAsiaTheme="majorEastAsia" w:cstheme="minorHAnsi"/>
        </w:rPr>
        <w:t xml:space="preserve"> et se fait à travers les Nouvelles Technologies d’Information et de Communication (NTIC)</w:t>
      </w:r>
      <w:r w:rsidRPr="007139CF">
        <w:rPr>
          <w:rFonts w:eastAsiaTheme="majorEastAsia" w:cstheme="minorHAnsi"/>
        </w:rPr>
        <w:t>.</w:t>
      </w:r>
      <w:r>
        <w:rPr>
          <w:rFonts w:eastAsiaTheme="majorEastAsia" w:cstheme="minorHAnsi"/>
        </w:rPr>
        <w:t xml:space="preserve"> Ainsi, toutes les informations seront numérisées dès la collecte de données jusqu’à la sortie des données de suivi. L’utilisation de ces nouvelles technologies présentent d’importants avantages :</w:t>
      </w:r>
    </w:p>
    <w:p w14:paraId="697E2D00" w14:textId="77777777" w:rsidR="00710860" w:rsidRDefault="00710860" w:rsidP="00710860">
      <w:pPr>
        <w:pStyle w:val="Paragraphedeliste"/>
        <w:numPr>
          <w:ilvl w:val="0"/>
          <w:numId w:val="14"/>
        </w:numPr>
        <w:spacing w:after="0" w:line="360" w:lineRule="auto"/>
        <w:jc w:val="both"/>
        <w:rPr>
          <w:rFonts w:eastAsiaTheme="majorEastAsia" w:cstheme="minorHAnsi"/>
        </w:rPr>
      </w:pPr>
      <w:r>
        <w:rPr>
          <w:rFonts w:eastAsiaTheme="majorEastAsia" w:cstheme="minorHAnsi"/>
        </w:rPr>
        <w:t>Gain de temps et coûts évités (transcription des données, compilation et traitement des données)</w:t>
      </w:r>
    </w:p>
    <w:p w14:paraId="28914666" w14:textId="77777777" w:rsidR="00710860" w:rsidRPr="004D1219" w:rsidRDefault="00710860" w:rsidP="00710860">
      <w:pPr>
        <w:pStyle w:val="Paragraphedeliste"/>
        <w:numPr>
          <w:ilvl w:val="0"/>
          <w:numId w:val="14"/>
        </w:numPr>
        <w:spacing w:after="0" w:line="360" w:lineRule="auto"/>
        <w:jc w:val="both"/>
        <w:rPr>
          <w:rFonts w:eastAsiaTheme="majorEastAsia" w:cstheme="minorHAnsi"/>
        </w:rPr>
      </w:pPr>
      <w:r>
        <w:rPr>
          <w:rFonts w:eastAsiaTheme="majorEastAsia" w:cstheme="minorHAnsi"/>
        </w:rPr>
        <w:t>Préservation de l’environnement par la non manipulation de plusieurs fiches d’enquête en version papier (moins de papiers et encre consommer)</w:t>
      </w:r>
    </w:p>
    <w:p w14:paraId="68467205" w14:textId="77777777" w:rsidR="00710860" w:rsidRDefault="00710860" w:rsidP="00710860">
      <w:pPr>
        <w:spacing w:after="0" w:line="360" w:lineRule="auto"/>
      </w:pPr>
    </w:p>
    <w:p w14:paraId="71912825" w14:textId="77777777" w:rsidR="00710860" w:rsidRDefault="00710860" w:rsidP="00710860">
      <w:pPr>
        <w:keepNext/>
        <w:tabs>
          <w:tab w:val="left" w:pos="7230"/>
          <w:tab w:val="left" w:pos="7371"/>
        </w:tabs>
        <w:spacing w:after="0" w:line="360" w:lineRule="auto"/>
      </w:pPr>
      <w:r>
        <w:rPr>
          <w:noProof/>
        </w:rPr>
        <w:lastRenderedPageBreak/>
        <w:drawing>
          <wp:inline distT="0" distB="0" distL="0" distR="0" wp14:anchorId="7CA7314B" wp14:editId="430B819F">
            <wp:extent cx="5675875" cy="2919600"/>
            <wp:effectExtent l="19050" t="19050" r="20320" b="146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5875" cy="2919600"/>
                    </a:xfrm>
                    <a:prstGeom prst="rect">
                      <a:avLst/>
                    </a:prstGeom>
                    <a:noFill/>
                    <a:ln>
                      <a:solidFill>
                        <a:schemeClr val="tx1"/>
                      </a:solidFill>
                    </a:ln>
                  </pic:spPr>
                </pic:pic>
              </a:graphicData>
            </a:graphic>
          </wp:inline>
        </w:drawing>
      </w:r>
    </w:p>
    <w:p w14:paraId="68BDF6B8" w14:textId="6DAC2F63" w:rsidR="00710860" w:rsidRPr="00CC32E1" w:rsidRDefault="00710860" w:rsidP="00710860">
      <w:pPr>
        <w:pStyle w:val="Lgende"/>
        <w:jc w:val="center"/>
      </w:pPr>
      <w:bookmarkStart w:id="32" w:name="_Toc75159799"/>
      <w:r w:rsidRPr="00CC32E1">
        <w:t xml:space="preserve">Figure </w:t>
      </w:r>
      <w:fldSimple w:instr=" SEQ Figure \* ARABIC ">
        <w:r w:rsidR="00DB0B2E">
          <w:rPr>
            <w:noProof/>
          </w:rPr>
          <w:t>1</w:t>
        </w:r>
      </w:fldSimple>
      <w:r w:rsidRPr="00CC32E1">
        <w:t>: Circulation des informations dans le système de suivi</w:t>
      </w:r>
      <w:bookmarkEnd w:id="32"/>
    </w:p>
    <w:p w14:paraId="5AAEE49B" w14:textId="77777777" w:rsidR="00710860" w:rsidRDefault="00710860" w:rsidP="00710860">
      <w:pPr>
        <w:pStyle w:val="Lgende"/>
        <w:jc w:val="center"/>
      </w:pPr>
      <w:r>
        <w:rPr>
          <w:noProof/>
        </w:rPr>
        <w:drawing>
          <wp:inline distT="0" distB="0" distL="0" distR="0" wp14:anchorId="6A4CE56F" wp14:editId="230ACB83">
            <wp:extent cx="5759450" cy="2470390"/>
            <wp:effectExtent l="0" t="0" r="0" b="6350"/>
            <wp:docPr id="488" name="Imag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6895" cy="2473583"/>
                    </a:xfrm>
                    <a:prstGeom prst="rect">
                      <a:avLst/>
                    </a:prstGeom>
                    <a:noFill/>
                  </pic:spPr>
                </pic:pic>
              </a:graphicData>
            </a:graphic>
          </wp:inline>
        </w:drawing>
      </w:r>
    </w:p>
    <w:p w14:paraId="02850081" w14:textId="6E37D6FC" w:rsidR="00710860" w:rsidRDefault="00710860" w:rsidP="00710860">
      <w:pPr>
        <w:pStyle w:val="Lgende"/>
        <w:jc w:val="center"/>
      </w:pPr>
      <w:bookmarkStart w:id="33" w:name="_Toc75159800"/>
      <w:r>
        <w:t xml:space="preserve">Figure </w:t>
      </w:r>
      <w:fldSimple w:instr=" SEQ Figure \* ARABIC ">
        <w:r w:rsidR="00DB0B2E">
          <w:rPr>
            <w:noProof/>
          </w:rPr>
          <w:t>2</w:t>
        </w:r>
      </w:fldSimple>
      <w:r>
        <w:t>: Activités principales du système de suivi et les acteurs responsables de chaque activité</w:t>
      </w:r>
      <w:bookmarkEnd w:id="33"/>
    </w:p>
    <w:p w14:paraId="43710172" w14:textId="77777777" w:rsidR="00710860" w:rsidRPr="00F844DA" w:rsidRDefault="00710860" w:rsidP="00710860"/>
    <w:p w14:paraId="61514F2D" w14:textId="77777777" w:rsidR="00710860" w:rsidRPr="00947478" w:rsidRDefault="00710860" w:rsidP="00710860">
      <w:pPr>
        <w:pStyle w:val="Titre2"/>
        <w:numPr>
          <w:ilvl w:val="1"/>
          <w:numId w:val="15"/>
        </w:numPr>
        <w:spacing w:line="360" w:lineRule="auto"/>
        <w:rPr>
          <w:i/>
          <w:iCs/>
        </w:rPr>
      </w:pPr>
      <w:bookmarkStart w:id="34" w:name="_Toc75159832"/>
      <w:bookmarkStart w:id="35" w:name="_Toc75162469"/>
      <w:r>
        <w:rPr>
          <w:i/>
          <w:iCs/>
        </w:rPr>
        <w:t>Collecte de données</w:t>
      </w:r>
      <w:bookmarkEnd w:id="34"/>
      <w:bookmarkEnd w:id="35"/>
    </w:p>
    <w:p w14:paraId="07575D40" w14:textId="77777777" w:rsidR="00710860" w:rsidRDefault="00710860" w:rsidP="00710860">
      <w:pPr>
        <w:spacing w:line="360" w:lineRule="auto"/>
        <w:jc w:val="both"/>
        <w:rPr>
          <w:rFonts w:eastAsia="Arial" w:cstheme="minorHAnsi"/>
        </w:rPr>
      </w:pPr>
      <w:r>
        <w:rPr>
          <w:rFonts w:eastAsia="Arial" w:cstheme="minorHAnsi"/>
        </w:rPr>
        <w:t>L</w:t>
      </w:r>
      <w:r w:rsidRPr="00EA17D7">
        <w:rPr>
          <w:rFonts w:eastAsia="Arial" w:cstheme="minorHAnsi"/>
        </w:rPr>
        <w:t xml:space="preserve">a collecte des informations sur </w:t>
      </w:r>
      <w:r>
        <w:rPr>
          <w:rFonts w:eastAsia="Arial" w:cstheme="minorHAnsi"/>
        </w:rPr>
        <w:t xml:space="preserve">les indicateurs prédéfinis dans ce </w:t>
      </w:r>
      <w:r w:rsidRPr="00EA17D7">
        <w:rPr>
          <w:rFonts w:eastAsia="Arial" w:cstheme="minorHAnsi"/>
        </w:rPr>
        <w:t>système de suivi</w:t>
      </w:r>
      <w:r>
        <w:rPr>
          <w:rFonts w:eastAsia="Arial" w:cstheme="minorHAnsi"/>
        </w:rPr>
        <w:t xml:space="preserve"> </w:t>
      </w:r>
      <w:r w:rsidRPr="00EA17D7">
        <w:rPr>
          <w:rFonts w:eastAsia="Arial" w:cstheme="minorHAnsi"/>
        </w:rPr>
        <w:t xml:space="preserve">se fait principalement </w:t>
      </w:r>
      <w:r>
        <w:rPr>
          <w:rFonts w:eastAsia="Arial" w:cstheme="minorHAnsi"/>
        </w:rPr>
        <w:t>au niveau de chaque District et qui est la base principale du système</w:t>
      </w:r>
      <w:r w:rsidRPr="00EA17D7">
        <w:rPr>
          <w:rFonts w:eastAsia="Arial" w:cstheme="minorHAnsi"/>
        </w:rPr>
        <w:t xml:space="preserve">. </w:t>
      </w:r>
      <w:r>
        <w:rPr>
          <w:rFonts w:eastAsia="Arial" w:cstheme="minorHAnsi"/>
        </w:rPr>
        <w:t xml:space="preserve">Comme il s’agit d’un système de suivi de la filière bois énergie et l’adoption d’alternatives de cuisson, les entités locales des différents secteurs concernées auront une part de responsabilité dans la collecte des informations. </w:t>
      </w:r>
    </w:p>
    <w:p w14:paraId="3DA102F1" w14:textId="77777777" w:rsidR="00710860" w:rsidRDefault="00710860" w:rsidP="00710860">
      <w:pPr>
        <w:spacing w:line="360" w:lineRule="auto"/>
        <w:jc w:val="both"/>
        <w:rPr>
          <w:rFonts w:eastAsia="Arial" w:cstheme="minorHAnsi"/>
        </w:rPr>
      </w:pPr>
      <w:r>
        <w:rPr>
          <w:rFonts w:eastAsia="Arial" w:cstheme="minorHAnsi"/>
        </w:rPr>
        <w:t>La coordination des activités de collecte de données sera assurée par le Cantonnement forestier et la structure déconcentrée du Ministère en charge de l’Energie si celui-ci est présent au niveau du District concerné. Ainsi, en tant que coordinateur de la collecte de données, le cantonnement forestier est chargé </w:t>
      </w:r>
      <w:r w:rsidRPr="003055F9">
        <w:rPr>
          <w:rFonts w:eastAsia="Arial" w:cstheme="minorHAnsi"/>
        </w:rPr>
        <w:t>d’assurer que la</w:t>
      </w:r>
      <w:r>
        <w:rPr>
          <w:rFonts w:eastAsia="Arial" w:cstheme="minorHAnsi"/>
        </w:rPr>
        <w:t xml:space="preserve"> collecte de données se fasse suivant les méthodes et les consignes prédéfinies </w:t>
      </w:r>
      <w:r>
        <w:rPr>
          <w:rFonts w:eastAsia="Arial" w:cstheme="minorHAnsi"/>
        </w:rPr>
        <w:lastRenderedPageBreak/>
        <w:t>dans ce système et que la</w:t>
      </w:r>
      <w:r w:rsidRPr="003055F9">
        <w:rPr>
          <w:rFonts w:eastAsia="Arial" w:cstheme="minorHAnsi"/>
        </w:rPr>
        <w:t xml:space="preserve"> taille minimale des échantillons par unité d’enquête soit atteinte suivant le manuel de procédure du système de suivi</w:t>
      </w:r>
      <w:r>
        <w:rPr>
          <w:rFonts w:eastAsia="Arial" w:cstheme="minorHAnsi"/>
        </w:rPr>
        <w:t>.</w:t>
      </w:r>
    </w:p>
    <w:p w14:paraId="64FAB536" w14:textId="77777777" w:rsidR="00710860" w:rsidRPr="00B15075" w:rsidRDefault="00710860" w:rsidP="00710860">
      <w:pPr>
        <w:spacing w:line="360" w:lineRule="auto"/>
        <w:jc w:val="both"/>
        <w:rPr>
          <w:rFonts w:eastAsia="Arial" w:cstheme="minorHAnsi"/>
        </w:rPr>
      </w:pPr>
      <w:r>
        <w:rPr>
          <w:rFonts w:eastAsia="Arial" w:cstheme="minorHAnsi"/>
        </w:rPr>
        <w:t>Les enquêteurs seront des agents du cantonnement/triage forestier, agents déconcentrés du Ministère en charge de l’Energie, agents déconcentrés du Ministère en charge de l’Energie, agents municipaux ou autres partenaires. Cependant, comme les enquêtes concernent plusieurs secteurs, les enquêteurs devraient avoir avant toute activité, des renforcements de capacités sur les méthodes d’enquête et aussi la manipulation de l’outil d’enquête.</w:t>
      </w:r>
    </w:p>
    <w:p w14:paraId="0106B469" w14:textId="77777777" w:rsidR="00710860" w:rsidRDefault="00710860" w:rsidP="00710860">
      <w:pPr>
        <w:pStyle w:val="Lgende"/>
        <w:keepNext/>
      </w:pPr>
      <w:bookmarkStart w:id="36" w:name="_Toc75159864"/>
      <w:r>
        <w:t xml:space="preserve">Tableau </w:t>
      </w:r>
      <w:fldSimple w:instr=" SEQ Tableau \* ARABIC ">
        <w:r>
          <w:rPr>
            <w:noProof/>
          </w:rPr>
          <w:t>2</w:t>
        </w:r>
      </w:fldSimple>
      <w:r>
        <w:t>: Responsabilité des entités locales</w:t>
      </w:r>
      <w:bookmarkEnd w:id="36"/>
    </w:p>
    <w:tbl>
      <w:tblPr>
        <w:tblStyle w:val="Grilledutableau"/>
        <w:tblW w:w="5000" w:type="pct"/>
        <w:tblLook w:val="04A0" w:firstRow="1" w:lastRow="0" w:firstColumn="1" w:lastColumn="0" w:noHBand="0" w:noVBand="1"/>
      </w:tblPr>
      <w:tblGrid>
        <w:gridCol w:w="4094"/>
        <w:gridCol w:w="4968"/>
      </w:tblGrid>
      <w:tr w:rsidR="00710860" w14:paraId="7EE950C5" w14:textId="77777777" w:rsidTr="00657724">
        <w:trPr>
          <w:trHeight w:val="369"/>
        </w:trPr>
        <w:tc>
          <w:tcPr>
            <w:tcW w:w="2259" w:type="pct"/>
            <w:shd w:val="clear" w:color="auto" w:fill="9CC2E5" w:themeFill="accent5" w:themeFillTint="99"/>
          </w:tcPr>
          <w:p w14:paraId="7943C0CF" w14:textId="77777777" w:rsidR="00710860" w:rsidRPr="00EA17D7" w:rsidRDefault="00710860" w:rsidP="00657724">
            <w:pPr>
              <w:spacing w:line="360" w:lineRule="auto"/>
              <w:rPr>
                <w:rFonts w:eastAsia="Arial" w:cstheme="minorHAnsi"/>
                <w:b/>
                <w:bCs/>
              </w:rPr>
            </w:pPr>
            <w:r w:rsidRPr="00EA17D7">
              <w:rPr>
                <w:rFonts w:eastAsia="Arial" w:cstheme="minorHAnsi"/>
                <w:b/>
                <w:bCs/>
              </w:rPr>
              <w:t>Entités locales à mobiliser</w:t>
            </w:r>
          </w:p>
        </w:tc>
        <w:tc>
          <w:tcPr>
            <w:tcW w:w="2741" w:type="pct"/>
            <w:shd w:val="clear" w:color="auto" w:fill="9CC2E5" w:themeFill="accent5" w:themeFillTint="99"/>
          </w:tcPr>
          <w:p w14:paraId="3748CCE5" w14:textId="77777777" w:rsidR="00710860" w:rsidRPr="00EA17D7" w:rsidRDefault="00710860" w:rsidP="00657724">
            <w:pPr>
              <w:spacing w:line="360" w:lineRule="auto"/>
              <w:rPr>
                <w:rFonts w:eastAsia="Arial" w:cstheme="minorHAnsi"/>
                <w:b/>
                <w:bCs/>
              </w:rPr>
            </w:pPr>
            <w:r w:rsidRPr="00EA17D7">
              <w:rPr>
                <w:rFonts w:eastAsia="Arial" w:cstheme="minorHAnsi"/>
                <w:b/>
                <w:bCs/>
              </w:rPr>
              <w:t>Responsabilités</w:t>
            </w:r>
          </w:p>
        </w:tc>
      </w:tr>
      <w:tr w:rsidR="00710860" w14:paraId="2892991E" w14:textId="77777777" w:rsidTr="00657724">
        <w:trPr>
          <w:trHeight w:val="1705"/>
        </w:trPr>
        <w:tc>
          <w:tcPr>
            <w:tcW w:w="2259" w:type="pct"/>
          </w:tcPr>
          <w:p w14:paraId="57CC7EC4" w14:textId="77777777" w:rsidR="00710860" w:rsidRDefault="00710860" w:rsidP="00657724">
            <w:pPr>
              <w:spacing w:line="276" w:lineRule="auto"/>
              <w:rPr>
                <w:rFonts w:eastAsia="Arial" w:cstheme="minorHAnsi"/>
              </w:rPr>
            </w:pPr>
            <w:r>
              <w:rPr>
                <w:rFonts w:eastAsia="Arial" w:cstheme="minorHAnsi"/>
              </w:rPr>
              <w:t>Collectivités Territoriales Décentralisées : District, Commune, Fokontany</w:t>
            </w:r>
          </w:p>
        </w:tc>
        <w:tc>
          <w:tcPr>
            <w:tcW w:w="2741" w:type="pct"/>
          </w:tcPr>
          <w:p w14:paraId="5B27FFF1" w14:textId="77777777" w:rsidR="00710860" w:rsidRDefault="00710860" w:rsidP="00657724">
            <w:pPr>
              <w:spacing w:line="276" w:lineRule="auto"/>
              <w:rPr>
                <w:rFonts w:eastAsia="Arial" w:cstheme="minorHAnsi"/>
              </w:rPr>
            </w:pPr>
            <w:r>
              <w:rPr>
                <w:rFonts w:eastAsia="Arial" w:cstheme="minorHAnsi"/>
              </w:rPr>
              <w:t>Fourniture des données secondaires (recensement de la population, des charbonniers, des producteurs d’alternative de cuisson et des équipements y afférents) utiles pour la préparation des enquêtes et pour l’extrapolation des données à l’échelle du District</w:t>
            </w:r>
          </w:p>
        </w:tc>
      </w:tr>
      <w:tr w:rsidR="00710860" w14:paraId="474FD32D" w14:textId="77777777" w:rsidTr="00657724">
        <w:trPr>
          <w:trHeight w:val="1251"/>
        </w:trPr>
        <w:tc>
          <w:tcPr>
            <w:tcW w:w="2259" w:type="pct"/>
          </w:tcPr>
          <w:p w14:paraId="1B08E233" w14:textId="77777777" w:rsidR="00710860" w:rsidRDefault="00710860" w:rsidP="00657724">
            <w:pPr>
              <w:spacing w:line="276" w:lineRule="auto"/>
              <w:rPr>
                <w:rFonts w:eastAsia="Arial" w:cstheme="minorHAnsi"/>
              </w:rPr>
            </w:pPr>
            <w:r>
              <w:rPr>
                <w:rFonts w:eastAsia="Arial" w:cstheme="minorHAnsi"/>
              </w:rPr>
              <w:t xml:space="preserve">Agent du Cantonnement/ Triage forestier </w:t>
            </w:r>
          </w:p>
          <w:p w14:paraId="3EDA9140" w14:textId="77777777" w:rsidR="00710860" w:rsidRDefault="00710860" w:rsidP="00657724">
            <w:pPr>
              <w:spacing w:line="276" w:lineRule="auto"/>
              <w:rPr>
                <w:rFonts w:eastAsia="Arial" w:cstheme="minorHAnsi"/>
              </w:rPr>
            </w:pPr>
            <w:r>
              <w:rPr>
                <w:rFonts w:eastAsia="Arial" w:cstheme="minorHAnsi"/>
              </w:rPr>
              <w:t>Agent déconcentré du Ministère en charge de l’Energie</w:t>
            </w:r>
          </w:p>
          <w:p w14:paraId="62030C1B" w14:textId="77777777" w:rsidR="00710860" w:rsidRDefault="00710860" w:rsidP="00657724">
            <w:pPr>
              <w:spacing w:line="276" w:lineRule="auto"/>
              <w:rPr>
                <w:rFonts w:eastAsia="Arial" w:cstheme="minorHAnsi"/>
              </w:rPr>
            </w:pPr>
            <w:r>
              <w:rPr>
                <w:rFonts w:eastAsia="Arial" w:cstheme="minorHAnsi"/>
              </w:rPr>
              <w:t>Agent municipal / communal</w:t>
            </w:r>
          </w:p>
          <w:p w14:paraId="29F44911" w14:textId="77777777" w:rsidR="00710860" w:rsidRDefault="00710860" w:rsidP="00657724">
            <w:pPr>
              <w:spacing w:line="276" w:lineRule="auto"/>
              <w:rPr>
                <w:rFonts w:eastAsia="Arial" w:cstheme="minorHAnsi"/>
              </w:rPr>
            </w:pPr>
            <w:r>
              <w:rPr>
                <w:rFonts w:eastAsia="Arial" w:cstheme="minorHAnsi"/>
              </w:rPr>
              <w:t>Autres partenaires</w:t>
            </w:r>
          </w:p>
        </w:tc>
        <w:tc>
          <w:tcPr>
            <w:tcW w:w="2741" w:type="pct"/>
          </w:tcPr>
          <w:p w14:paraId="1BA3E22D" w14:textId="77777777" w:rsidR="00710860" w:rsidRDefault="00710860" w:rsidP="00657724">
            <w:pPr>
              <w:spacing w:line="276" w:lineRule="auto"/>
              <w:rPr>
                <w:rFonts w:eastAsia="Arial" w:cstheme="minorHAnsi"/>
              </w:rPr>
            </w:pPr>
            <w:r>
              <w:rPr>
                <w:rFonts w:eastAsia="Arial" w:cstheme="minorHAnsi"/>
              </w:rPr>
              <w:t>Collecte les données par :</w:t>
            </w:r>
          </w:p>
          <w:p w14:paraId="79289962" w14:textId="77777777" w:rsidR="00710860" w:rsidRDefault="00710860" w:rsidP="00710860">
            <w:pPr>
              <w:pStyle w:val="Paragraphedeliste"/>
              <w:numPr>
                <w:ilvl w:val="0"/>
                <w:numId w:val="13"/>
              </w:numPr>
              <w:spacing w:line="276" w:lineRule="auto"/>
              <w:rPr>
                <w:rFonts w:eastAsia="Arial" w:cstheme="minorHAnsi"/>
              </w:rPr>
            </w:pPr>
            <w:r>
              <w:rPr>
                <w:rFonts w:eastAsia="Arial" w:cstheme="minorHAnsi"/>
              </w:rPr>
              <w:t>enquêtes pépinières</w:t>
            </w:r>
          </w:p>
          <w:p w14:paraId="259137EB" w14:textId="77777777" w:rsidR="00710860" w:rsidRDefault="00710860" w:rsidP="00710860">
            <w:pPr>
              <w:pStyle w:val="Paragraphedeliste"/>
              <w:numPr>
                <w:ilvl w:val="0"/>
                <w:numId w:val="13"/>
              </w:numPr>
              <w:spacing w:line="276" w:lineRule="auto"/>
              <w:rPr>
                <w:rFonts w:eastAsia="Arial" w:cstheme="minorHAnsi"/>
              </w:rPr>
            </w:pPr>
            <w:r>
              <w:rPr>
                <w:rFonts w:eastAsia="Arial" w:cstheme="minorHAnsi"/>
              </w:rPr>
              <w:t>recueil données sur le potentiel en bois énergie des reboisements et des forêts naturelles</w:t>
            </w:r>
          </w:p>
          <w:p w14:paraId="4F1AFAD3" w14:textId="77777777" w:rsidR="00710860" w:rsidRDefault="00710860" w:rsidP="00710860">
            <w:pPr>
              <w:pStyle w:val="Paragraphedeliste"/>
              <w:numPr>
                <w:ilvl w:val="0"/>
                <w:numId w:val="13"/>
              </w:numPr>
              <w:spacing w:line="276" w:lineRule="auto"/>
              <w:rPr>
                <w:rFonts w:eastAsia="Arial" w:cstheme="minorHAnsi"/>
              </w:rPr>
            </w:pPr>
            <w:r w:rsidRPr="00E9211F">
              <w:rPr>
                <w:rFonts w:eastAsia="Arial" w:cstheme="minorHAnsi"/>
              </w:rPr>
              <w:t>enquêtes ménages/gros consommateurs</w:t>
            </w:r>
          </w:p>
          <w:p w14:paraId="5915634B" w14:textId="77777777" w:rsidR="00710860" w:rsidRDefault="00710860" w:rsidP="00710860">
            <w:pPr>
              <w:pStyle w:val="Paragraphedeliste"/>
              <w:numPr>
                <w:ilvl w:val="0"/>
                <w:numId w:val="13"/>
              </w:numPr>
              <w:spacing w:line="276" w:lineRule="auto"/>
              <w:rPr>
                <w:rFonts w:eastAsia="Arial" w:cstheme="minorHAnsi"/>
              </w:rPr>
            </w:pPr>
            <w:r>
              <w:rPr>
                <w:rFonts w:eastAsia="Arial" w:cstheme="minorHAnsi"/>
              </w:rPr>
              <w:t xml:space="preserve">enquêtes </w:t>
            </w:r>
            <w:r w:rsidRPr="00E9211F">
              <w:rPr>
                <w:rFonts w:eastAsia="Arial" w:cstheme="minorHAnsi"/>
              </w:rPr>
              <w:t xml:space="preserve">charbonniers </w:t>
            </w:r>
          </w:p>
          <w:p w14:paraId="248F0AA4" w14:textId="77777777" w:rsidR="00710860" w:rsidRDefault="00710860" w:rsidP="00710860">
            <w:pPr>
              <w:pStyle w:val="Paragraphedeliste"/>
              <w:numPr>
                <w:ilvl w:val="0"/>
                <w:numId w:val="13"/>
              </w:numPr>
              <w:spacing w:line="276" w:lineRule="auto"/>
              <w:rPr>
                <w:rFonts w:eastAsia="Arial" w:cstheme="minorHAnsi"/>
              </w:rPr>
            </w:pPr>
            <w:r>
              <w:rPr>
                <w:rFonts w:eastAsia="Arial" w:cstheme="minorHAnsi"/>
              </w:rPr>
              <w:t>enquêtes</w:t>
            </w:r>
            <w:r w:rsidRPr="00E9211F">
              <w:rPr>
                <w:rFonts w:eastAsia="Arial" w:cstheme="minorHAnsi"/>
              </w:rPr>
              <w:t xml:space="preserve"> producteurs d’équipements </w:t>
            </w:r>
          </w:p>
          <w:p w14:paraId="1E97F99E" w14:textId="77777777" w:rsidR="00710860" w:rsidRPr="00E9211F" w:rsidRDefault="00710860" w:rsidP="00710860">
            <w:pPr>
              <w:pStyle w:val="Paragraphedeliste"/>
              <w:numPr>
                <w:ilvl w:val="0"/>
                <w:numId w:val="13"/>
              </w:numPr>
              <w:spacing w:line="276" w:lineRule="auto"/>
              <w:rPr>
                <w:rFonts w:eastAsia="Arial" w:cstheme="minorHAnsi"/>
              </w:rPr>
            </w:pPr>
            <w:r>
              <w:rPr>
                <w:rFonts w:eastAsia="Arial" w:cstheme="minorHAnsi"/>
              </w:rPr>
              <w:t xml:space="preserve">enquêtes producteurs </w:t>
            </w:r>
            <w:r w:rsidRPr="00E9211F">
              <w:rPr>
                <w:rFonts w:eastAsia="Arial" w:cstheme="minorHAnsi"/>
              </w:rPr>
              <w:t xml:space="preserve">d’alternative de cuisson </w:t>
            </w:r>
          </w:p>
        </w:tc>
      </w:tr>
      <w:tr w:rsidR="00710860" w14:paraId="1848878D" w14:textId="77777777" w:rsidTr="00657724">
        <w:trPr>
          <w:trHeight w:val="2325"/>
        </w:trPr>
        <w:tc>
          <w:tcPr>
            <w:tcW w:w="2259" w:type="pct"/>
          </w:tcPr>
          <w:p w14:paraId="5C6548B3" w14:textId="77777777" w:rsidR="00710860" w:rsidRDefault="00710860" w:rsidP="00657724">
            <w:pPr>
              <w:spacing w:line="276" w:lineRule="auto"/>
              <w:rPr>
                <w:rFonts w:eastAsia="Arial" w:cstheme="minorHAnsi"/>
              </w:rPr>
            </w:pPr>
            <w:r>
              <w:rPr>
                <w:rFonts w:eastAsia="Arial" w:cstheme="minorHAnsi"/>
              </w:rPr>
              <w:t>Cantonnement forestier</w:t>
            </w:r>
          </w:p>
          <w:p w14:paraId="34A2F5B0" w14:textId="77777777" w:rsidR="00710860" w:rsidRDefault="00710860" w:rsidP="00657724">
            <w:pPr>
              <w:spacing w:line="276" w:lineRule="auto"/>
              <w:rPr>
                <w:rFonts w:eastAsia="Arial" w:cstheme="minorHAnsi"/>
              </w:rPr>
            </w:pPr>
            <w:r>
              <w:rPr>
                <w:rFonts w:eastAsia="Arial" w:cstheme="minorHAnsi"/>
              </w:rPr>
              <w:t>Service local déconcentré du Ministère de l’Energie (si existant)</w:t>
            </w:r>
          </w:p>
        </w:tc>
        <w:tc>
          <w:tcPr>
            <w:tcW w:w="2741" w:type="pct"/>
          </w:tcPr>
          <w:p w14:paraId="6AB821AC" w14:textId="77777777" w:rsidR="00710860" w:rsidRDefault="00710860" w:rsidP="00657724">
            <w:pPr>
              <w:spacing w:line="276" w:lineRule="auto"/>
              <w:rPr>
                <w:rFonts w:eastAsia="Arial" w:cstheme="minorHAnsi"/>
              </w:rPr>
            </w:pPr>
            <w:r>
              <w:rPr>
                <w:rFonts w:eastAsia="Arial" w:cstheme="minorHAnsi"/>
              </w:rPr>
              <w:t>Coordination des activités relatives aux collectes de données (données secondaires,</w:t>
            </w:r>
            <w:r w:rsidRPr="00017B70">
              <w:rPr>
                <w:rFonts w:eastAsia="Arial" w:cstheme="minorHAnsi"/>
              </w:rPr>
              <w:t xml:space="preserve"> enquêtes pépinière</w:t>
            </w:r>
            <w:r>
              <w:rPr>
                <w:rFonts w:eastAsia="Arial" w:cstheme="minorHAnsi"/>
              </w:rPr>
              <w:t xml:space="preserve">s, </w:t>
            </w:r>
            <w:r w:rsidRPr="00017B70">
              <w:rPr>
                <w:rFonts w:eastAsia="Arial" w:cstheme="minorHAnsi"/>
              </w:rPr>
              <w:t>collecte de données sur le potentiel en bois énergie</w:t>
            </w:r>
            <w:r>
              <w:rPr>
                <w:rFonts w:eastAsia="Arial" w:cstheme="minorHAnsi"/>
              </w:rPr>
              <w:t>, enquêtes ménages/gros consommateurs, enquêtes charbonniers, enquêtes producteurs)</w:t>
            </w:r>
          </w:p>
          <w:p w14:paraId="34F0C14A" w14:textId="77777777" w:rsidR="00710860" w:rsidRDefault="00710860" w:rsidP="00657724">
            <w:pPr>
              <w:spacing w:line="276" w:lineRule="auto"/>
              <w:rPr>
                <w:rFonts w:eastAsia="Arial" w:cstheme="minorHAnsi"/>
              </w:rPr>
            </w:pPr>
            <w:r>
              <w:rPr>
                <w:rFonts w:eastAsia="Arial" w:cstheme="minorHAnsi"/>
              </w:rPr>
              <w:t xml:space="preserve">Renforcement de capacités des enquêteurs </w:t>
            </w:r>
          </w:p>
          <w:p w14:paraId="13340CC0" w14:textId="77777777" w:rsidR="00710860" w:rsidRDefault="00710860" w:rsidP="00657724">
            <w:pPr>
              <w:spacing w:line="276" w:lineRule="auto"/>
              <w:rPr>
                <w:rFonts w:eastAsia="Arial" w:cstheme="minorHAnsi"/>
              </w:rPr>
            </w:pPr>
            <w:r>
              <w:rPr>
                <w:rFonts w:eastAsia="Arial" w:cstheme="minorHAnsi"/>
              </w:rPr>
              <w:t>Organisation des enquêtes</w:t>
            </w:r>
          </w:p>
          <w:p w14:paraId="4ED9E58F" w14:textId="77777777" w:rsidR="00710860" w:rsidRDefault="00710860" w:rsidP="00657724">
            <w:pPr>
              <w:spacing w:line="276" w:lineRule="auto"/>
              <w:rPr>
                <w:rFonts w:eastAsia="Arial" w:cstheme="minorHAnsi"/>
              </w:rPr>
            </w:pPr>
          </w:p>
        </w:tc>
      </w:tr>
      <w:tr w:rsidR="00710860" w14:paraId="7E2D1F7D" w14:textId="77777777" w:rsidTr="00657724">
        <w:trPr>
          <w:trHeight w:val="725"/>
        </w:trPr>
        <w:tc>
          <w:tcPr>
            <w:tcW w:w="2259" w:type="pct"/>
          </w:tcPr>
          <w:p w14:paraId="3184F594" w14:textId="77777777" w:rsidR="00710860" w:rsidRDefault="00710860" w:rsidP="00657724">
            <w:pPr>
              <w:spacing w:line="276" w:lineRule="auto"/>
              <w:rPr>
                <w:rFonts w:eastAsia="Arial" w:cstheme="minorHAnsi"/>
              </w:rPr>
            </w:pPr>
            <w:r>
              <w:rPr>
                <w:rFonts w:eastAsia="Arial" w:cstheme="minorHAnsi"/>
              </w:rPr>
              <w:t>Cantonnement forestier</w:t>
            </w:r>
          </w:p>
        </w:tc>
        <w:tc>
          <w:tcPr>
            <w:tcW w:w="2741" w:type="pct"/>
          </w:tcPr>
          <w:p w14:paraId="54CE01EF" w14:textId="77777777" w:rsidR="00710860" w:rsidRDefault="00710860" w:rsidP="00657724">
            <w:pPr>
              <w:spacing w:line="276" w:lineRule="auto"/>
              <w:rPr>
                <w:rFonts w:eastAsia="Arial" w:cstheme="minorHAnsi"/>
              </w:rPr>
            </w:pPr>
            <w:r>
              <w:rPr>
                <w:rFonts w:eastAsia="Arial" w:cstheme="minorHAnsi"/>
              </w:rPr>
              <w:t>Collecte des données au niveau des barrières (pointage)</w:t>
            </w:r>
          </w:p>
        </w:tc>
      </w:tr>
      <w:tr w:rsidR="00710860" w14:paraId="5CF4D266" w14:textId="77777777" w:rsidTr="00657724">
        <w:trPr>
          <w:trHeight w:val="573"/>
        </w:trPr>
        <w:tc>
          <w:tcPr>
            <w:tcW w:w="2259" w:type="pct"/>
          </w:tcPr>
          <w:p w14:paraId="241DED4E" w14:textId="77777777" w:rsidR="00710860" w:rsidRDefault="00710860" w:rsidP="00657724">
            <w:pPr>
              <w:spacing w:line="276" w:lineRule="auto"/>
              <w:rPr>
                <w:rFonts w:eastAsia="Arial" w:cstheme="minorHAnsi"/>
              </w:rPr>
            </w:pPr>
            <w:r>
              <w:rPr>
                <w:rFonts w:eastAsia="Arial" w:cstheme="minorHAnsi"/>
              </w:rPr>
              <w:t xml:space="preserve">Agents de la gendarmerie </w:t>
            </w:r>
          </w:p>
        </w:tc>
        <w:tc>
          <w:tcPr>
            <w:tcW w:w="2741" w:type="pct"/>
          </w:tcPr>
          <w:p w14:paraId="2B259C95" w14:textId="77777777" w:rsidR="00710860" w:rsidRDefault="00710860" w:rsidP="00657724">
            <w:pPr>
              <w:spacing w:line="276" w:lineRule="auto"/>
              <w:rPr>
                <w:rFonts w:eastAsia="Arial" w:cstheme="minorHAnsi"/>
              </w:rPr>
            </w:pPr>
            <w:r>
              <w:rPr>
                <w:rFonts w:eastAsia="Arial" w:cstheme="minorHAnsi"/>
              </w:rPr>
              <w:t xml:space="preserve">Appui des enquêteurs sur les pointages au niveau barrière </w:t>
            </w:r>
          </w:p>
        </w:tc>
      </w:tr>
    </w:tbl>
    <w:p w14:paraId="37387DD4" w14:textId="77777777" w:rsidR="00710860" w:rsidRPr="001113D3" w:rsidRDefault="00710860" w:rsidP="00710860">
      <w:pPr>
        <w:spacing w:line="360" w:lineRule="auto"/>
        <w:jc w:val="both"/>
        <w:rPr>
          <w:rFonts w:eastAsia="Arial" w:cstheme="minorHAnsi"/>
        </w:rPr>
      </w:pPr>
      <w:r w:rsidRPr="001113D3">
        <w:rPr>
          <w:rFonts w:eastAsia="Arial" w:cstheme="minorHAnsi"/>
        </w:rPr>
        <w:t>La collecte de données sur terrain utilise</w:t>
      </w:r>
      <w:r>
        <w:rPr>
          <w:rFonts w:eastAsia="Arial" w:cstheme="minorHAnsi"/>
        </w:rPr>
        <w:t>ra</w:t>
      </w:r>
      <w:r w:rsidRPr="001113D3">
        <w:rPr>
          <w:rFonts w:eastAsia="Arial" w:cstheme="minorHAnsi"/>
        </w:rPr>
        <w:t xml:space="preserve"> les technologies NTIC avec une application mobile </w:t>
      </w:r>
      <w:r>
        <w:rPr>
          <w:rFonts w:eastAsia="Arial" w:cstheme="minorHAnsi"/>
        </w:rPr>
        <w:t>développée particulièrement</w:t>
      </w:r>
      <w:r w:rsidRPr="001113D3">
        <w:rPr>
          <w:rFonts w:eastAsia="Arial" w:cstheme="minorHAnsi"/>
        </w:rPr>
        <w:t xml:space="preserve"> pour la collecte des données d’enquêtes.</w:t>
      </w:r>
      <w:r>
        <w:rPr>
          <w:rFonts w:eastAsia="Arial" w:cstheme="minorHAnsi"/>
        </w:rPr>
        <w:t xml:space="preserve"> Cette application mobile se catégorise par unités d’enquête (pépinières, </w:t>
      </w:r>
      <w:r w:rsidRPr="00017B70">
        <w:rPr>
          <w:rFonts w:eastAsia="Arial" w:cstheme="minorHAnsi"/>
        </w:rPr>
        <w:t>potentiel en bois énergie des reboisements</w:t>
      </w:r>
      <w:r>
        <w:rPr>
          <w:rFonts w:eastAsia="Arial" w:cstheme="minorHAnsi"/>
        </w:rPr>
        <w:t xml:space="preserve">, </w:t>
      </w:r>
      <w:r w:rsidRPr="00017B70">
        <w:rPr>
          <w:rFonts w:eastAsia="Arial" w:cstheme="minorHAnsi"/>
        </w:rPr>
        <w:t xml:space="preserve">potentiel en </w:t>
      </w:r>
      <w:r w:rsidRPr="00017B70">
        <w:rPr>
          <w:rFonts w:eastAsia="Arial" w:cstheme="minorHAnsi"/>
        </w:rPr>
        <w:lastRenderedPageBreak/>
        <w:t>bois énergie des forêts naturelles</w:t>
      </w:r>
      <w:r>
        <w:rPr>
          <w:rFonts w:eastAsia="Arial" w:cstheme="minorHAnsi"/>
        </w:rPr>
        <w:t>,</w:t>
      </w:r>
      <w:r w:rsidRPr="00017B70">
        <w:rPr>
          <w:rFonts w:eastAsia="Arial" w:cstheme="minorHAnsi"/>
        </w:rPr>
        <w:t xml:space="preserve"> </w:t>
      </w:r>
      <w:r>
        <w:rPr>
          <w:rFonts w:eastAsia="Arial" w:cstheme="minorHAnsi"/>
        </w:rPr>
        <w:t>ménages, gros consommateurs, charbonniers, producteurs d’équipement de cuisson, producteurs d’alternative de cuisson, barrières) et pour chaque unité d’enquête, contient un formulaire à remplir correspondant aux données à collecter en relation avec les indicateurs de suivi. Ainsi, l</w:t>
      </w:r>
      <w:r w:rsidRPr="001113D3">
        <w:rPr>
          <w:rFonts w:eastAsia="Arial" w:cstheme="minorHAnsi"/>
        </w:rPr>
        <w:t>’enquêteur saisi</w:t>
      </w:r>
      <w:r>
        <w:rPr>
          <w:rFonts w:eastAsia="Arial" w:cstheme="minorHAnsi"/>
        </w:rPr>
        <w:t>t</w:t>
      </w:r>
      <w:r w:rsidRPr="001113D3">
        <w:rPr>
          <w:rFonts w:eastAsia="Arial" w:cstheme="minorHAnsi"/>
        </w:rPr>
        <w:t xml:space="preserve"> directement les informations obtenues dans le formulaire de l’application et à la fin de la collecte de données,</w:t>
      </w:r>
      <w:r>
        <w:rPr>
          <w:rFonts w:eastAsia="Arial" w:cstheme="minorHAnsi"/>
        </w:rPr>
        <w:t xml:space="preserve"> le cantonnement forestier et le service locale déconcentré du Ministère de l’Energie effectuera une vérification des données (taille et répartition des échantillons) avant de les envoyer</w:t>
      </w:r>
      <w:r w:rsidRPr="001113D3">
        <w:rPr>
          <w:rFonts w:eastAsia="Arial" w:cstheme="minorHAnsi"/>
        </w:rPr>
        <w:t xml:space="preserve"> </w:t>
      </w:r>
      <w:r>
        <w:rPr>
          <w:rFonts w:eastAsia="Arial" w:cstheme="minorHAnsi"/>
        </w:rPr>
        <w:t xml:space="preserve">à </w:t>
      </w:r>
      <w:r w:rsidRPr="001113D3">
        <w:rPr>
          <w:rFonts w:eastAsia="Arial" w:cstheme="minorHAnsi"/>
        </w:rPr>
        <w:t xml:space="preserve">la Direction Régionale concernée et </w:t>
      </w:r>
      <w:r>
        <w:rPr>
          <w:rFonts w:eastAsia="Arial" w:cstheme="minorHAnsi"/>
        </w:rPr>
        <w:t>au</w:t>
      </w:r>
      <w:r w:rsidRPr="001113D3">
        <w:rPr>
          <w:rFonts w:eastAsia="Arial" w:cstheme="minorHAnsi"/>
        </w:rPr>
        <w:t xml:space="preserve"> Ministère en charge des forêts</w:t>
      </w:r>
      <w:r>
        <w:rPr>
          <w:rFonts w:eastAsia="Arial" w:cstheme="minorHAnsi"/>
        </w:rPr>
        <w:t>, à la Direction Interrégionale concernée et au Ministère en charge de l’Energie</w:t>
      </w:r>
      <w:r w:rsidRPr="001113D3">
        <w:rPr>
          <w:rFonts w:eastAsia="Arial" w:cstheme="minorHAnsi"/>
        </w:rPr>
        <w:t>.</w:t>
      </w:r>
      <w:r>
        <w:rPr>
          <w:rFonts w:eastAsia="Arial" w:cstheme="minorHAnsi"/>
        </w:rPr>
        <w:t xml:space="preserve"> Cet envoi se fait </w:t>
      </w:r>
      <w:r w:rsidRPr="001113D3">
        <w:rPr>
          <w:rFonts w:eastAsia="Arial" w:cstheme="minorHAnsi"/>
        </w:rPr>
        <w:t>en se connectant à internet</w:t>
      </w:r>
      <w:r>
        <w:rPr>
          <w:rFonts w:eastAsia="Arial" w:cstheme="minorHAnsi"/>
        </w:rPr>
        <w:t xml:space="preserve"> via l’application mobile même. </w:t>
      </w:r>
      <w:r w:rsidRPr="001113D3">
        <w:rPr>
          <w:rFonts w:eastAsia="Arial" w:cstheme="minorHAnsi"/>
        </w:rPr>
        <w:t xml:space="preserve">Ces </w:t>
      </w:r>
      <w:r>
        <w:rPr>
          <w:rFonts w:eastAsia="Arial" w:cstheme="minorHAnsi"/>
        </w:rPr>
        <w:t>deux entités</w:t>
      </w:r>
      <w:r w:rsidRPr="001113D3">
        <w:rPr>
          <w:rFonts w:eastAsia="Arial" w:cstheme="minorHAnsi"/>
        </w:rPr>
        <w:t xml:space="preserve"> reçoivent </w:t>
      </w:r>
      <w:r>
        <w:rPr>
          <w:rFonts w:eastAsia="Arial" w:cstheme="minorHAnsi"/>
        </w:rPr>
        <w:t xml:space="preserve">ainsi </w:t>
      </w:r>
      <w:r w:rsidRPr="001113D3">
        <w:rPr>
          <w:rFonts w:eastAsia="Arial" w:cstheme="minorHAnsi"/>
        </w:rPr>
        <w:t>les données brutes issues des différents types de collecte de données.</w:t>
      </w:r>
    </w:p>
    <w:p w14:paraId="0D4001A4" w14:textId="77777777" w:rsidR="00710860" w:rsidRPr="00947478" w:rsidRDefault="00710860" w:rsidP="00710860">
      <w:pPr>
        <w:pStyle w:val="Titre2"/>
        <w:numPr>
          <w:ilvl w:val="1"/>
          <w:numId w:val="15"/>
        </w:numPr>
        <w:spacing w:line="360" w:lineRule="auto"/>
        <w:rPr>
          <w:i/>
          <w:iCs/>
        </w:rPr>
      </w:pPr>
      <w:bookmarkStart w:id="37" w:name="_Toc75159833"/>
      <w:bookmarkStart w:id="38" w:name="_Toc75162470"/>
      <w:r>
        <w:rPr>
          <w:i/>
          <w:iCs/>
        </w:rPr>
        <w:t>Vérification au niveau régional</w:t>
      </w:r>
      <w:bookmarkEnd w:id="37"/>
      <w:bookmarkEnd w:id="38"/>
    </w:p>
    <w:p w14:paraId="6B8B98F6" w14:textId="77777777" w:rsidR="00710860" w:rsidRDefault="00710860" w:rsidP="00710860">
      <w:pPr>
        <w:spacing w:after="0" w:line="360" w:lineRule="auto"/>
        <w:contextualSpacing/>
        <w:jc w:val="both"/>
        <w:rPr>
          <w:rFonts w:eastAsia="Arial" w:cstheme="minorHAnsi"/>
        </w:rPr>
      </w:pPr>
      <w:r>
        <w:t xml:space="preserve">Après envoi des données </w:t>
      </w:r>
      <w:r w:rsidRPr="001113D3">
        <w:rPr>
          <w:rFonts w:eastAsia="Arial" w:cstheme="minorHAnsi"/>
        </w:rPr>
        <w:t>collectées</w:t>
      </w:r>
      <w:r>
        <w:rPr>
          <w:rFonts w:eastAsia="Arial" w:cstheme="minorHAnsi"/>
        </w:rPr>
        <w:t xml:space="preserve"> par les enquêteurs, les données sont traitées automatiquement par le serveur et les résultats en sort sur le site web développé pour le partage des informations de suivi. Cependant, ces derniers ne sont pas encore consultables par le public mais seules les directions régionales et interrégionales des forêts et de l’Energie disposent l’accès aux résultats du système de suivi de sa couverture régionale à travers un nom d’utilisateur et un mot de passe spécifique à la Région.</w:t>
      </w:r>
      <w:r w:rsidRPr="009A223F">
        <w:rPr>
          <w:rFonts w:eastAsia="Arial" w:cstheme="minorHAnsi"/>
        </w:rPr>
        <w:t xml:space="preserve"> </w:t>
      </w:r>
      <w:r>
        <w:rPr>
          <w:rFonts w:eastAsia="Arial" w:cstheme="minorHAnsi"/>
        </w:rPr>
        <w:t xml:space="preserve">A ce stade, ces deux entités pourront ainsi établir un rapport de suivi régional tout en vérifiant les informations fournies par le système. Cette vérification se fait en concertation avec les deux secteurs. </w:t>
      </w:r>
    </w:p>
    <w:p w14:paraId="657811E5" w14:textId="77777777" w:rsidR="00710860" w:rsidRDefault="00710860" w:rsidP="00710860">
      <w:pPr>
        <w:spacing w:after="0" w:line="360" w:lineRule="auto"/>
        <w:contextualSpacing/>
        <w:jc w:val="both"/>
        <w:rPr>
          <w:rFonts w:eastAsia="Arial" w:cstheme="minorHAnsi"/>
        </w:rPr>
      </w:pPr>
    </w:p>
    <w:p w14:paraId="4A537A33" w14:textId="77777777" w:rsidR="00710860" w:rsidRPr="00947478" w:rsidRDefault="00710860" w:rsidP="00710860">
      <w:pPr>
        <w:pStyle w:val="Titre2"/>
        <w:numPr>
          <w:ilvl w:val="1"/>
          <w:numId w:val="15"/>
        </w:numPr>
        <w:spacing w:line="360" w:lineRule="auto"/>
        <w:rPr>
          <w:i/>
          <w:iCs/>
        </w:rPr>
      </w:pPr>
      <w:bookmarkStart w:id="39" w:name="_Toc75159834"/>
      <w:bookmarkStart w:id="40" w:name="_Toc75162471"/>
      <w:r>
        <w:rPr>
          <w:i/>
          <w:iCs/>
        </w:rPr>
        <w:t>Vérification au niveau national et publication des résultats</w:t>
      </w:r>
      <w:bookmarkEnd w:id="39"/>
      <w:bookmarkEnd w:id="40"/>
    </w:p>
    <w:p w14:paraId="7F83C19A" w14:textId="77777777" w:rsidR="00710860" w:rsidRDefault="00710860" w:rsidP="00710860">
      <w:pPr>
        <w:tabs>
          <w:tab w:val="left" w:pos="5812"/>
        </w:tabs>
        <w:spacing w:after="0" w:line="360" w:lineRule="auto"/>
        <w:jc w:val="both"/>
        <w:rPr>
          <w:rFonts w:eastAsia="Arial" w:cstheme="minorHAnsi"/>
        </w:rPr>
      </w:pPr>
      <w:r>
        <w:rPr>
          <w:rFonts w:eastAsia="Arial" w:cstheme="minorHAnsi"/>
        </w:rPr>
        <w:t>Une fois que les directions régionales et interrégionales d’une Région précise émettent leurs avis favorables, l’équipe centrale du Ministère en charge des forêts (actuellement, Division Valorisation des produits forestiers et des exportations des produits forestiers) et du Ministère de l’Energie (responsable cellule environnementale) auront accès aux résultats de suivi via une nouvelle session avec un nom d’utilisateur et un mot de passe spécifique à ce niveau. Comme le niveau régional, l’équipe central pourra ressortir un rapport national de suivi dont les résultats seront vérifiés par les équipes techniques des deux Ministères. Après l’avis favorables de ces derniers, les informations sur le suivi seront publiées sur le site web qui pourra être consulté par le public. La publication des résultats issus du système de suivi se fera par la Direction chargé du système d’information des deux Ministères (site web du Ministère chargé des forêts et SIE du Ministère de l’Energie).</w:t>
      </w:r>
    </w:p>
    <w:p w14:paraId="4DFD83F6" w14:textId="77777777" w:rsidR="006B084E" w:rsidRDefault="006B084E" w:rsidP="00863AD4">
      <w:pPr>
        <w:spacing w:line="360" w:lineRule="auto"/>
        <w:rPr>
          <w:b/>
          <w:bCs/>
        </w:rPr>
      </w:pPr>
    </w:p>
    <w:p w14:paraId="5A32519D" w14:textId="77777777" w:rsidR="00081395" w:rsidRDefault="00081395" w:rsidP="00863AD4">
      <w:pPr>
        <w:spacing w:line="360" w:lineRule="auto"/>
        <w:sectPr w:rsidR="00081395" w:rsidSect="00A64289">
          <w:headerReference w:type="default" r:id="rId17"/>
          <w:pgSz w:w="11906" w:h="16838"/>
          <w:pgMar w:top="1417" w:right="1417" w:bottom="1417" w:left="1417" w:header="708" w:footer="708" w:gutter="0"/>
          <w:cols w:space="708"/>
          <w:docGrid w:linePitch="360"/>
        </w:sectPr>
      </w:pPr>
    </w:p>
    <w:p w14:paraId="6EBE5987" w14:textId="3C6C6694" w:rsidR="00545D49" w:rsidRDefault="00545D49" w:rsidP="00863AD4">
      <w:pPr>
        <w:pStyle w:val="Titre1"/>
        <w:spacing w:line="360" w:lineRule="auto"/>
      </w:pPr>
      <w:bookmarkStart w:id="41" w:name="_Toc75162472"/>
      <w:r>
        <w:lastRenderedPageBreak/>
        <w:t>ANNEXES</w:t>
      </w:r>
      <w:bookmarkEnd w:id="41"/>
    </w:p>
    <w:p w14:paraId="42335D5F" w14:textId="77777777" w:rsidR="00F96011" w:rsidRPr="009E0008" w:rsidRDefault="00F96011" w:rsidP="00863AD4">
      <w:pPr>
        <w:spacing w:line="360" w:lineRule="auto"/>
        <w:ind w:left="99" w:hanging="142"/>
        <w:contextualSpacing/>
        <w:rPr>
          <w:b/>
          <w:bCs/>
          <w:sz w:val="28"/>
          <w:szCs w:val="28"/>
        </w:rPr>
      </w:pPr>
      <w:r w:rsidRPr="009E0008">
        <w:rPr>
          <w:b/>
          <w:bCs/>
          <w:sz w:val="28"/>
          <w:szCs w:val="28"/>
        </w:rPr>
        <w:t>Annexe 1 : Formule de la quantité totale annuelle de bois énergie consommés</w:t>
      </w:r>
    </w:p>
    <w:p w14:paraId="4791DC94" w14:textId="77777777" w:rsidR="00F96011" w:rsidRPr="001C6629" w:rsidRDefault="00F96011" w:rsidP="00863AD4">
      <w:pPr>
        <w:spacing w:line="360" w:lineRule="auto"/>
        <w:rPr>
          <w:b/>
          <w:bCs/>
          <w:i/>
          <w:iCs/>
        </w:rPr>
      </w:pPr>
      <w:r w:rsidRPr="000A2DB7">
        <w:rPr>
          <w:b/>
          <w:bCs/>
          <w:i/>
          <w:iCs/>
        </w:rPr>
        <w:t>Pour le bois de chauffe :</w:t>
      </w:r>
    </w:p>
    <w:tbl>
      <w:tblPr>
        <w:tblStyle w:val="Grilledutableau"/>
        <w:tblW w:w="0" w:type="auto"/>
        <w:tblLook w:val="04A0" w:firstRow="1" w:lastRow="0" w:firstColumn="1" w:lastColumn="0" w:noHBand="0" w:noVBand="1"/>
      </w:tblPr>
      <w:tblGrid>
        <w:gridCol w:w="1838"/>
        <w:gridCol w:w="7224"/>
      </w:tblGrid>
      <w:tr w:rsidR="00F96011" w:rsidRPr="00090CF3" w14:paraId="7A9047A1" w14:textId="77777777" w:rsidTr="00C81E11">
        <w:tc>
          <w:tcPr>
            <w:tcW w:w="1838" w:type="dxa"/>
          </w:tcPr>
          <w:p w14:paraId="41C7F627" w14:textId="77777777" w:rsidR="00F96011" w:rsidRPr="00090CF3" w:rsidRDefault="00F96011" w:rsidP="00863AD4">
            <w:pPr>
              <w:spacing w:line="360" w:lineRule="auto"/>
              <w:jc w:val="right"/>
            </w:pPr>
            <w:r w:rsidRPr="00090CF3">
              <w:t xml:space="preserve">Quantité mensuelle consommée en bois de chauffe </w:t>
            </w:r>
          </w:p>
        </w:tc>
        <w:tc>
          <w:tcPr>
            <w:tcW w:w="7224" w:type="dxa"/>
          </w:tcPr>
          <w:p w14:paraId="2F3B0E96" w14:textId="77777777" w:rsidR="00F96011" w:rsidRPr="00090CF3" w:rsidRDefault="00F96011" w:rsidP="00863AD4">
            <w:pPr>
              <w:spacing w:line="360" w:lineRule="auto"/>
            </w:pPr>
            <w:r w:rsidRPr="00090CF3">
              <w:rPr>
                <w:b/>
                <w:bCs/>
              </w:rPr>
              <w:t>=</w:t>
            </w:r>
            <w:r w:rsidRPr="00090CF3">
              <w:t xml:space="preserve"> (Moyenne (quantité mensuelle consommée en bois de chauffe par ménage en milieu urbain / taille du ménage) * nombre population en milieu urbain</w:t>
            </w:r>
          </w:p>
          <w:p w14:paraId="07AB50DC" w14:textId="77777777" w:rsidR="00F96011" w:rsidRPr="00090CF3" w:rsidRDefault="00F96011" w:rsidP="00863AD4">
            <w:pPr>
              <w:spacing w:line="360" w:lineRule="auto"/>
              <w:jc w:val="center"/>
              <w:rPr>
                <w:b/>
                <w:bCs/>
              </w:rPr>
            </w:pPr>
            <w:r w:rsidRPr="00090CF3">
              <w:rPr>
                <w:b/>
                <w:bCs/>
              </w:rPr>
              <w:t>+</w:t>
            </w:r>
          </w:p>
          <w:p w14:paraId="5249BC85" w14:textId="77777777" w:rsidR="00F96011" w:rsidRPr="00090CF3" w:rsidRDefault="00F96011" w:rsidP="00863AD4">
            <w:pPr>
              <w:spacing w:line="360" w:lineRule="auto"/>
              <w:jc w:val="both"/>
            </w:pPr>
            <w:r w:rsidRPr="00090CF3">
              <w:t>Moyenne (quantité mensuelle consommée en bois de chauffe par ménage en milieu rural / taille du ménage) * nombre population en milieu rural</w:t>
            </w:r>
          </w:p>
          <w:p w14:paraId="71D227C9" w14:textId="77777777" w:rsidR="00F96011" w:rsidRPr="00090CF3" w:rsidRDefault="00F96011" w:rsidP="00863AD4">
            <w:pPr>
              <w:spacing w:line="360" w:lineRule="auto"/>
              <w:jc w:val="center"/>
              <w:rPr>
                <w:b/>
                <w:bCs/>
              </w:rPr>
            </w:pPr>
            <w:r w:rsidRPr="00090CF3">
              <w:rPr>
                <w:b/>
                <w:bCs/>
              </w:rPr>
              <w:t>+</w:t>
            </w:r>
          </w:p>
          <w:p w14:paraId="264D3252" w14:textId="77777777" w:rsidR="00F96011" w:rsidRPr="00090CF3" w:rsidRDefault="00F96011" w:rsidP="00863AD4">
            <w:pPr>
              <w:spacing w:line="360" w:lineRule="auto"/>
            </w:pPr>
            <w:r w:rsidRPr="00090CF3">
              <w:t>Moyenne (quantité mensuelle consommée en bois de chauffe par Gros consommateur) * nombre gros consommateurs) par District par an</w:t>
            </w:r>
          </w:p>
        </w:tc>
      </w:tr>
    </w:tbl>
    <w:p w14:paraId="0C18F582" w14:textId="77777777" w:rsidR="00F96011" w:rsidRPr="000A2DB7" w:rsidRDefault="00F96011" w:rsidP="00863AD4">
      <w:pPr>
        <w:spacing w:line="360" w:lineRule="auto"/>
        <w:jc w:val="both"/>
      </w:pPr>
    </w:p>
    <w:p w14:paraId="348F462F" w14:textId="77777777" w:rsidR="00F96011" w:rsidRPr="000A2DB7" w:rsidRDefault="00F96011" w:rsidP="00863AD4">
      <w:pPr>
        <w:spacing w:line="360" w:lineRule="auto"/>
        <w:jc w:val="both"/>
      </w:pPr>
      <w:r w:rsidRPr="000A2DB7">
        <w:t xml:space="preserve">. Quantité annuelle consommée en bois de chauffe par District = Quantité mensuelle consommée en bois de chauffe * </w:t>
      </w:r>
      <w:r>
        <w:t>12</w:t>
      </w:r>
    </w:p>
    <w:p w14:paraId="77843743" w14:textId="77777777" w:rsidR="00F96011" w:rsidRPr="000A2DB7" w:rsidRDefault="00F96011" w:rsidP="00863AD4">
      <w:pPr>
        <w:spacing w:line="360" w:lineRule="auto"/>
        <w:jc w:val="both"/>
      </w:pPr>
      <w:r w:rsidRPr="000A2DB7">
        <w:t>. Quantité annuelle consommée en bois de chauffe par Région = somme des quantités annuelles consommées en bois de chauffe par District dans la Région</w:t>
      </w:r>
    </w:p>
    <w:p w14:paraId="2648FC67" w14:textId="77777777" w:rsidR="00F96011" w:rsidRPr="000A2DB7" w:rsidRDefault="00F96011" w:rsidP="00863AD4">
      <w:pPr>
        <w:spacing w:line="360" w:lineRule="auto"/>
        <w:jc w:val="both"/>
      </w:pPr>
      <w:r w:rsidRPr="000A2DB7">
        <w:t>. Quantité annuelle consommée en bois de chauffe au niveau national = somme des quantités annuelles consommées en bois de chauffe par Région</w:t>
      </w:r>
    </w:p>
    <w:p w14:paraId="5907C705" w14:textId="77777777" w:rsidR="00F96011" w:rsidRPr="0005374A" w:rsidRDefault="00F96011" w:rsidP="00863AD4">
      <w:pPr>
        <w:spacing w:line="360" w:lineRule="auto"/>
        <w:rPr>
          <w:b/>
          <w:bCs/>
          <w:i/>
          <w:iCs/>
        </w:rPr>
      </w:pPr>
      <w:r w:rsidRPr="000A2DB7">
        <w:rPr>
          <w:b/>
          <w:bCs/>
          <w:i/>
          <w:iCs/>
        </w:rPr>
        <w:t>Pour le charbon de bois :</w:t>
      </w:r>
    </w:p>
    <w:tbl>
      <w:tblPr>
        <w:tblStyle w:val="Grilledutableau"/>
        <w:tblW w:w="0" w:type="auto"/>
        <w:tblLook w:val="04A0" w:firstRow="1" w:lastRow="0" w:firstColumn="1" w:lastColumn="0" w:noHBand="0" w:noVBand="1"/>
      </w:tblPr>
      <w:tblGrid>
        <w:gridCol w:w="1838"/>
        <w:gridCol w:w="7224"/>
      </w:tblGrid>
      <w:tr w:rsidR="00F96011" w14:paraId="0FC1B270" w14:textId="77777777" w:rsidTr="00C81E11">
        <w:tc>
          <w:tcPr>
            <w:tcW w:w="1838" w:type="dxa"/>
          </w:tcPr>
          <w:p w14:paraId="1A6AEF39" w14:textId="77777777" w:rsidR="00F96011" w:rsidRPr="00090CF3" w:rsidRDefault="00F96011" w:rsidP="00863AD4">
            <w:pPr>
              <w:spacing w:line="360" w:lineRule="auto"/>
              <w:jc w:val="right"/>
            </w:pPr>
            <w:r w:rsidRPr="00090CF3">
              <w:t>Quantité mensuelle consommée en charbon de bois</w:t>
            </w:r>
          </w:p>
        </w:tc>
        <w:tc>
          <w:tcPr>
            <w:tcW w:w="7224" w:type="dxa"/>
          </w:tcPr>
          <w:p w14:paraId="13682079" w14:textId="77777777" w:rsidR="00F96011" w:rsidRPr="00090CF3" w:rsidRDefault="00F96011" w:rsidP="00863AD4">
            <w:pPr>
              <w:spacing w:line="360" w:lineRule="auto"/>
            </w:pPr>
            <w:r w:rsidRPr="00090CF3">
              <w:rPr>
                <w:b/>
                <w:bCs/>
              </w:rPr>
              <w:t>=</w:t>
            </w:r>
            <w:r w:rsidRPr="00090CF3">
              <w:t xml:space="preserve"> (Moyenne (quantité mensuelle consommée en charbon de bois par ménage en milieu urbain / taille du ménage) * nombre population en milieu urbain</w:t>
            </w:r>
          </w:p>
          <w:p w14:paraId="1CB26F5E" w14:textId="77777777" w:rsidR="00F96011" w:rsidRPr="00090CF3" w:rsidRDefault="00F96011" w:rsidP="00863AD4">
            <w:pPr>
              <w:spacing w:line="360" w:lineRule="auto"/>
              <w:jc w:val="center"/>
              <w:rPr>
                <w:b/>
                <w:bCs/>
              </w:rPr>
            </w:pPr>
            <w:r w:rsidRPr="00090CF3">
              <w:rPr>
                <w:b/>
                <w:bCs/>
              </w:rPr>
              <w:t>+</w:t>
            </w:r>
          </w:p>
          <w:p w14:paraId="04671F7A" w14:textId="77777777" w:rsidR="00F96011" w:rsidRPr="00090CF3" w:rsidRDefault="00F96011" w:rsidP="00863AD4">
            <w:pPr>
              <w:spacing w:line="360" w:lineRule="auto"/>
            </w:pPr>
            <w:r w:rsidRPr="00090CF3">
              <w:t>Moyenne (quantité mensuelle consommée en charbon de bois par ménage en milieu rural / taille du ménage) * nombre population en milieu rural</w:t>
            </w:r>
          </w:p>
          <w:p w14:paraId="032F32E3" w14:textId="77777777" w:rsidR="00F96011" w:rsidRPr="00090CF3" w:rsidRDefault="00F96011" w:rsidP="00863AD4">
            <w:pPr>
              <w:spacing w:line="360" w:lineRule="auto"/>
              <w:jc w:val="center"/>
              <w:rPr>
                <w:b/>
                <w:bCs/>
              </w:rPr>
            </w:pPr>
            <w:r w:rsidRPr="00090CF3">
              <w:rPr>
                <w:b/>
                <w:bCs/>
              </w:rPr>
              <w:t>+</w:t>
            </w:r>
          </w:p>
          <w:p w14:paraId="44BFDE58" w14:textId="77777777" w:rsidR="00F96011" w:rsidRPr="00090CF3" w:rsidRDefault="00F96011" w:rsidP="00863AD4">
            <w:pPr>
              <w:spacing w:line="360" w:lineRule="auto"/>
            </w:pPr>
            <w:r w:rsidRPr="00090CF3">
              <w:t>Moyenne (quantité mensuelle consommée en charbon de bois par Gros consommateur) * nombre gros consommateurs) par District par an</w:t>
            </w:r>
          </w:p>
        </w:tc>
      </w:tr>
    </w:tbl>
    <w:p w14:paraId="14E71C5A" w14:textId="77777777" w:rsidR="00F96011" w:rsidRPr="000A2DB7" w:rsidRDefault="00F96011" w:rsidP="00863AD4">
      <w:pPr>
        <w:spacing w:line="360" w:lineRule="auto"/>
      </w:pPr>
    </w:p>
    <w:p w14:paraId="01375BE0" w14:textId="77777777" w:rsidR="00F96011" w:rsidRPr="000A2DB7" w:rsidRDefault="00F96011" w:rsidP="00863AD4">
      <w:pPr>
        <w:spacing w:line="360" w:lineRule="auto"/>
      </w:pPr>
      <w:r w:rsidRPr="000A2DB7">
        <w:t xml:space="preserve">. Quantité annuelle consommée en charbon de bois par District = (Quantité mensuelle consommée en charbon de bois </w:t>
      </w:r>
      <w:r w:rsidRPr="00F053B2">
        <w:t>* 12</w:t>
      </w:r>
    </w:p>
    <w:p w14:paraId="43CC562C" w14:textId="77777777" w:rsidR="00F96011" w:rsidRPr="000A2DB7" w:rsidRDefault="00F96011" w:rsidP="00863AD4">
      <w:pPr>
        <w:spacing w:line="360" w:lineRule="auto"/>
      </w:pPr>
      <w:r w:rsidRPr="000A2DB7">
        <w:lastRenderedPageBreak/>
        <w:t>. Quantité annuelle consommée en charbon de bois par Région = somme des quantités annuelles consommées en charbon de bois par District dans la Région</w:t>
      </w:r>
    </w:p>
    <w:p w14:paraId="1112BFDD" w14:textId="77777777" w:rsidR="00F96011" w:rsidRDefault="00F96011" w:rsidP="00863AD4">
      <w:pPr>
        <w:spacing w:line="360" w:lineRule="auto"/>
      </w:pPr>
      <w:r w:rsidRPr="000A2DB7">
        <w:t>. Quantité annuelle consommée en charbon de bois au niveau national = somme des quantités annuelles consommées en charbon de bois par Région</w:t>
      </w:r>
    </w:p>
    <w:p w14:paraId="1757331E" w14:textId="77777777" w:rsidR="00F96011" w:rsidRPr="000A2DB7" w:rsidRDefault="00F96011" w:rsidP="00863AD4">
      <w:pPr>
        <w:spacing w:line="360" w:lineRule="auto"/>
        <w:rPr>
          <w:b/>
          <w:bCs/>
          <w:i/>
          <w:iCs/>
        </w:rPr>
      </w:pPr>
      <w:r w:rsidRPr="000A2DB7">
        <w:rPr>
          <w:b/>
          <w:bCs/>
          <w:i/>
          <w:iCs/>
        </w:rPr>
        <w:t>Pour le bois énergie</w:t>
      </w:r>
    </w:p>
    <w:p w14:paraId="0750B15C" w14:textId="12F6C6AE" w:rsidR="00D70746" w:rsidRDefault="00F96011" w:rsidP="00863AD4">
      <w:pPr>
        <w:spacing w:line="360" w:lineRule="auto"/>
      </w:pPr>
      <w:r w:rsidRPr="000A2DB7">
        <w:t>. Quantité totale annuelle de bois énergie consommés (kg) = (Quantité annuelle consommée en bois de chauffe + Quantité annuelle consommée en Charbon de Bois) par District, par Région ou au niveau national</w:t>
      </w:r>
    </w:p>
    <w:p w14:paraId="2030B79C" w14:textId="77777777" w:rsidR="00D70746" w:rsidRDefault="00D70746" w:rsidP="00863AD4">
      <w:pPr>
        <w:spacing w:line="360" w:lineRule="auto"/>
      </w:pPr>
      <w:r>
        <w:br w:type="page"/>
      </w:r>
    </w:p>
    <w:p w14:paraId="63DA02AB" w14:textId="1BF2C278" w:rsidR="00002DEA" w:rsidRPr="009E0008" w:rsidRDefault="00002DEA" w:rsidP="00863AD4">
      <w:pPr>
        <w:spacing w:line="360" w:lineRule="auto"/>
        <w:ind w:left="99" w:hanging="142"/>
        <w:contextualSpacing/>
        <w:rPr>
          <w:b/>
          <w:bCs/>
          <w:sz w:val="28"/>
          <w:szCs w:val="28"/>
        </w:rPr>
      </w:pPr>
      <w:r w:rsidRPr="009E0008">
        <w:rPr>
          <w:b/>
          <w:bCs/>
          <w:sz w:val="28"/>
          <w:szCs w:val="28"/>
        </w:rPr>
        <w:lastRenderedPageBreak/>
        <w:t xml:space="preserve">Annexe 2 : </w:t>
      </w:r>
      <w:r w:rsidR="00307A0A" w:rsidRPr="009E0008">
        <w:rPr>
          <w:b/>
          <w:bCs/>
          <w:sz w:val="28"/>
          <w:szCs w:val="28"/>
        </w:rPr>
        <w:t>Accroissement annuel moyen par type de formation forestière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78"/>
        <w:gridCol w:w="5484"/>
      </w:tblGrid>
      <w:tr w:rsidR="00307A0A" w:rsidRPr="00DB0B2E" w14:paraId="2A99DF8C" w14:textId="77777777" w:rsidTr="00DB0B2E">
        <w:trPr>
          <w:trHeight w:val="288"/>
          <w:jc w:val="center"/>
        </w:trPr>
        <w:tc>
          <w:tcPr>
            <w:tcW w:w="1974" w:type="pct"/>
            <w:shd w:val="clear" w:color="auto" w:fill="auto"/>
            <w:noWrap/>
            <w:vAlign w:val="center"/>
            <w:hideMark/>
          </w:tcPr>
          <w:p w14:paraId="1A00802F" w14:textId="77777777" w:rsidR="00307A0A" w:rsidRPr="00DB0B2E" w:rsidRDefault="00307A0A" w:rsidP="00863AD4">
            <w:pPr>
              <w:spacing w:after="0" w:line="360" w:lineRule="auto"/>
              <w:jc w:val="center"/>
              <w:rPr>
                <w:b/>
                <w:bCs/>
              </w:rPr>
            </w:pPr>
            <w:r w:rsidRPr="00DB0B2E">
              <w:rPr>
                <w:b/>
                <w:bCs/>
              </w:rPr>
              <w:t>Type de forêt</w:t>
            </w:r>
          </w:p>
        </w:tc>
        <w:tc>
          <w:tcPr>
            <w:tcW w:w="3026" w:type="pct"/>
            <w:shd w:val="clear" w:color="auto" w:fill="auto"/>
            <w:noWrap/>
            <w:vAlign w:val="center"/>
            <w:hideMark/>
          </w:tcPr>
          <w:p w14:paraId="20424D3D" w14:textId="77777777" w:rsidR="00307A0A" w:rsidRPr="00DB0B2E" w:rsidRDefault="00307A0A" w:rsidP="00863AD4">
            <w:pPr>
              <w:spacing w:after="0" w:line="360" w:lineRule="auto"/>
              <w:jc w:val="center"/>
              <w:rPr>
                <w:b/>
                <w:bCs/>
              </w:rPr>
            </w:pPr>
            <w:r w:rsidRPr="00DB0B2E">
              <w:rPr>
                <w:b/>
                <w:bCs/>
              </w:rPr>
              <w:t>Accroissement Annuel Moyen (m³/ha)</w:t>
            </w:r>
          </w:p>
        </w:tc>
      </w:tr>
      <w:tr w:rsidR="00307A0A" w:rsidRPr="00307A0A" w14:paraId="00D8FF23" w14:textId="77777777" w:rsidTr="00DB0B2E">
        <w:trPr>
          <w:trHeight w:val="288"/>
          <w:jc w:val="center"/>
        </w:trPr>
        <w:tc>
          <w:tcPr>
            <w:tcW w:w="1974" w:type="pct"/>
            <w:shd w:val="clear" w:color="auto" w:fill="auto"/>
            <w:noWrap/>
            <w:vAlign w:val="center"/>
            <w:hideMark/>
          </w:tcPr>
          <w:p w14:paraId="6C21D526" w14:textId="77777777" w:rsidR="00307A0A" w:rsidRPr="00DB0B2E" w:rsidRDefault="00307A0A" w:rsidP="00863AD4">
            <w:pPr>
              <w:spacing w:after="0" w:line="360" w:lineRule="auto"/>
              <w:jc w:val="center"/>
            </w:pPr>
            <w:r w:rsidRPr="00DB0B2E">
              <w:t>Forêt dense humide</w:t>
            </w:r>
          </w:p>
        </w:tc>
        <w:tc>
          <w:tcPr>
            <w:tcW w:w="3026" w:type="pct"/>
            <w:shd w:val="clear" w:color="auto" w:fill="auto"/>
            <w:noWrap/>
            <w:vAlign w:val="center"/>
            <w:hideMark/>
          </w:tcPr>
          <w:p w14:paraId="68FB0418" w14:textId="77777777" w:rsidR="00307A0A" w:rsidRPr="00DB0B2E" w:rsidRDefault="00307A0A" w:rsidP="00863AD4">
            <w:pPr>
              <w:spacing w:after="0" w:line="360" w:lineRule="auto"/>
              <w:jc w:val="center"/>
            </w:pPr>
            <w:r w:rsidRPr="00DB0B2E">
              <w:t>5,89</w:t>
            </w:r>
          </w:p>
        </w:tc>
      </w:tr>
      <w:tr w:rsidR="00307A0A" w:rsidRPr="00307A0A" w14:paraId="442D4267" w14:textId="77777777" w:rsidTr="00DB0B2E">
        <w:trPr>
          <w:trHeight w:val="288"/>
          <w:jc w:val="center"/>
        </w:trPr>
        <w:tc>
          <w:tcPr>
            <w:tcW w:w="1974" w:type="pct"/>
            <w:shd w:val="clear" w:color="auto" w:fill="auto"/>
            <w:noWrap/>
            <w:vAlign w:val="center"/>
            <w:hideMark/>
          </w:tcPr>
          <w:p w14:paraId="1FC0A334" w14:textId="77777777" w:rsidR="00307A0A" w:rsidRPr="00DB0B2E" w:rsidRDefault="00307A0A" w:rsidP="00863AD4">
            <w:pPr>
              <w:spacing w:after="0" w:line="360" w:lineRule="auto"/>
              <w:jc w:val="center"/>
            </w:pPr>
            <w:r w:rsidRPr="00DB0B2E">
              <w:t>Forêt dense sèche</w:t>
            </w:r>
          </w:p>
        </w:tc>
        <w:tc>
          <w:tcPr>
            <w:tcW w:w="3026" w:type="pct"/>
            <w:shd w:val="clear" w:color="auto" w:fill="auto"/>
            <w:noWrap/>
            <w:vAlign w:val="center"/>
            <w:hideMark/>
          </w:tcPr>
          <w:p w14:paraId="3C41D24A" w14:textId="77777777" w:rsidR="00307A0A" w:rsidRPr="00DB0B2E" w:rsidRDefault="00307A0A" w:rsidP="00863AD4">
            <w:pPr>
              <w:spacing w:after="0" w:line="360" w:lineRule="auto"/>
              <w:jc w:val="center"/>
            </w:pPr>
            <w:r w:rsidRPr="00DB0B2E">
              <w:t>1,04</w:t>
            </w:r>
          </w:p>
        </w:tc>
      </w:tr>
      <w:tr w:rsidR="00307A0A" w:rsidRPr="00307A0A" w14:paraId="6E55D10D" w14:textId="77777777" w:rsidTr="00DB0B2E">
        <w:trPr>
          <w:trHeight w:val="288"/>
          <w:jc w:val="center"/>
        </w:trPr>
        <w:tc>
          <w:tcPr>
            <w:tcW w:w="1974" w:type="pct"/>
            <w:shd w:val="clear" w:color="auto" w:fill="auto"/>
            <w:noWrap/>
            <w:vAlign w:val="center"/>
            <w:hideMark/>
          </w:tcPr>
          <w:p w14:paraId="17593F97" w14:textId="77777777" w:rsidR="00307A0A" w:rsidRPr="00DB0B2E" w:rsidRDefault="00307A0A" w:rsidP="00863AD4">
            <w:pPr>
              <w:spacing w:after="0" w:line="360" w:lineRule="auto"/>
              <w:jc w:val="center"/>
            </w:pPr>
            <w:r w:rsidRPr="00DB0B2E">
              <w:t>Forêt épineuse/fourré</w:t>
            </w:r>
          </w:p>
        </w:tc>
        <w:tc>
          <w:tcPr>
            <w:tcW w:w="3026" w:type="pct"/>
            <w:shd w:val="clear" w:color="auto" w:fill="auto"/>
            <w:noWrap/>
            <w:vAlign w:val="center"/>
            <w:hideMark/>
          </w:tcPr>
          <w:p w14:paraId="55E932FC" w14:textId="77777777" w:rsidR="00307A0A" w:rsidRPr="00DB0B2E" w:rsidRDefault="00307A0A" w:rsidP="00863AD4">
            <w:pPr>
              <w:spacing w:after="0" w:line="360" w:lineRule="auto"/>
              <w:jc w:val="center"/>
            </w:pPr>
            <w:r w:rsidRPr="00DB0B2E">
              <w:t>0,84</w:t>
            </w:r>
          </w:p>
        </w:tc>
      </w:tr>
      <w:tr w:rsidR="00307A0A" w:rsidRPr="00307A0A" w14:paraId="25AFC2A3" w14:textId="77777777" w:rsidTr="00DB0B2E">
        <w:trPr>
          <w:trHeight w:val="288"/>
          <w:jc w:val="center"/>
        </w:trPr>
        <w:tc>
          <w:tcPr>
            <w:tcW w:w="1974" w:type="pct"/>
            <w:shd w:val="clear" w:color="auto" w:fill="auto"/>
            <w:noWrap/>
            <w:vAlign w:val="center"/>
            <w:hideMark/>
          </w:tcPr>
          <w:p w14:paraId="6D41C1F4" w14:textId="77777777" w:rsidR="00307A0A" w:rsidRPr="00DB0B2E" w:rsidRDefault="00307A0A" w:rsidP="00863AD4">
            <w:pPr>
              <w:spacing w:after="0" w:line="360" w:lineRule="auto"/>
              <w:jc w:val="center"/>
            </w:pPr>
            <w:r w:rsidRPr="00DB0B2E">
              <w:t>Mangrove</w:t>
            </w:r>
          </w:p>
        </w:tc>
        <w:tc>
          <w:tcPr>
            <w:tcW w:w="3026" w:type="pct"/>
            <w:shd w:val="clear" w:color="auto" w:fill="auto"/>
            <w:noWrap/>
            <w:vAlign w:val="center"/>
            <w:hideMark/>
          </w:tcPr>
          <w:p w14:paraId="0EBA8C94" w14:textId="77777777" w:rsidR="00307A0A" w:rsidRPr="00DB0B2E" w:rsidRDefault="00307A0A" w:rsidP="00863AD4">
            <w:pPr>
              <w:spacing w:after="0" w:line="360" w:lineRule="auto"/>
              <w:jc w:val="center"/>
            </w:pPr>
            <w:r w:rsidRPr="00DB0B2E">
              <w:t>5</w:t>
            </w:r>
          </w:p>
        </w:tc>
      </w:tr>
      <w:tr w:rsidR="00307A0A" w:rsidRPr="00307A0A" w14:paraId="2E04EC69" w14:textId="77777777" w:rsidTr="00DB0B2E">
        <w:trPr>
          <w:trHeight w:val="288"/>
          <w:jc w:val="center"/>
        </w:trPr>
        <w:tc>
          <w:tcPr>
            <w:tcW w:w="1974" w:type="pct"/>
            <w:shd w:val="clear" w:color="auto" w:fill="auto"/>
            <w:noWrap/>
            <w:vAlign w:val="center"/>
            <w:hideMark/>
          </w:tcPr>
          <w:p w14:paraId="62CABBE2" w14:textId="77777777" w:rsidR="00307A0A" w:rsidRPr="00DB0B2E" w:rsidRDefault="00307A0A" w:rsidP="00863AD4">
            <w:pPr>
              <w:spacing w:after="0" w:line="360" w:lineRule="auto"/>
              <w:jc w:val="center"/>
            </w:pPr>
            <w:r w:rsidRPr="00DB0B2E">
              <w:t>Plantation de pin</w:t>
            </w:r>
          </w:p>
        </w:tc>
        <w:tc>
          <w:tcPr>
            <w:tcW w:w="3026" w:type="pct"/>
            <w:shd w:val="clear" w:color="auto" w:fill="auto"/>
            <w:noWrap/>
            <w:vAlign w:val="center"/>
            <w:hideMark/>
          </w:tcPr>
          <w:p w14:paraId="1696B0AF" w14:textId="77777777" w:rsidR="00307A0A" w:rsidRPr="00DB0B2E" w:rsidRDefault="00307A0A" w:rsidP="00863AD4">
            <w:pPr>
              <w:spacing w:after="0" w:line="360" w:lineRule="auto"/>
              <w:jc w:val="center"/>
            </w:pPr>
            <w:r w:rsidRPr="00DB0B2E">
              <w:t>15</w:t>
            </w:r>
          </w:p>
        </w:tc>
      </w:tr>
      <w:tr w:rsidR="00307A0A" w:rsidRPr="00307A0A" w14:paraId="7ACAEE6B" w14:textId="77777777" w:rsidTr="00DB0B2E">
        <w:trPr>
          <w:trHeight w:val="288"/>
          <w:jc w:val="center"/>
        </w:trPr>
        <w:tc>
          <w:tcPr>
            <w:tcW w:w="1974" w:type="pct"/>
            <w:shd w:val="clear" w:color="auto" w:fill="auto"/>
            <w:noWrap/>
            <w:vAlign w:val="center"/>
            <w:hideMark/>
          </w:tcPr>
          <w:p w14:paraId="0DEE52E3" w14:textId="77777777" w:rsidR="00307A0A" w:rsidRPr="00DB0B2E" w:rsidRDefault="00307A0A" w:rsidP="00863AD4">
            <w:pPr>
              <w:spacing w:after="0" w:line="360" w:lineRule="auto"/>
              <w:jc w:val="center"/>
            </w:pPr>
            <w:r w:rsidRPr="00DB0B2E">
              <w:t>Plantation d’eucalyptus</w:t>
            </w:r>
          </w:p>
        </w:tc>
        <w:tc>
          <w:tcPr>
            <w:tcW w:w="3026" w:type="pct"/>
            <w:shd w:val="clear" w:color="auto" w:fill="auto"/>
            <w:noWrap/>
            <w:vAlign w:val="center"/>
            <w:hideMark/>
          </w:tcPr>
          <w:p w14:paraId="0AEE80AC" w14:textId="77777777" w:rsidR="00307A0A" w:rsidRPr="00DB0B2E" w:rsidRDefault="00307A0A" w:rsidP="00863AD4">
            <w:pPr>
              <w:spacing w:after="0" w:line="360" w:lineRule="auto"/>
              <w:jc w:val="center"/>
            </w:pPr>
            <w:r w:rsidRPr="00DB0B2E">
              <w:t>20</w:t>
            </w:r>
          </w:p>
        </w:tc>
      </w:tr>
    </w:tbl>
    <w:p w14:paraId="7E048F73" w14:textId="31FA7AF2" w:rsidR="00D70746" w:rsidRDefault="00D70746" w:rsidP="00863AD4">
      <w:pPr>
        <w:spacing w:line="360" w:lineRule="auto"/>
      </w:pPr>
    </w:p>
    <w:p w14:paraId="714B71C6" w14:textId="77777777" w:rsidR="00D70746" w:rsidRDefault="00D70746" w:rsidP="00863AD4">
      <w:pPr>
        <w:spacing w:line="360" w:lineRule="auto"/>
      </w:pPr>
      <w:r>
        <w:br w:type="page"/>
      </w:r>
    </w:p>
    <w:p w14:paraId="36F09BDC" w14:textId="38B864C1" w:rsidR="00545D49" w:rsidRPr="009E0008" w:rsidRDefault="00545D49" w:rsidP="00863AD4">
      <w:pPr>
        <w:spacing w:line="360" w:lineRule="auto"/>
        <w:ind w:left="99" w:hanging="142"/>
        <w:contextualSpacing/>
        <w:rPr>
          <w:b/>
          <w:bCs/>
          <w:sz w:val="28"/>
          <w:szCs w:val="28"/>
        </w:rPr>
      </w:pPr>
      <w:r w:rsidRPr="009E0008">
        <w:rPr>
          <w:b/>
          <w:bCs/>
          <w:sz w:val="28"/>
          <w:szCs w:val="28"/>
        </w:rPr>
        <w:lastRenderedPageBreak/>
        <w:t>Annexe</w:t>
      </w:r>
      <w:r w:rsidR="000E4A60" w:rsidRPr="009E0008">
        <w:rPr>
          <w:b/>
          <w:bCs/>
          <w:sz w:val="28"/>
          <w:szCs w:val="28"/>
        </w:rPr>
        <w:t xml:space="preserve"> 3 :</w:t>
      </w:r>
      <w:r w:rsidRPr="009E0008">
        <w:rPr>
          <w:b/>
          <w:bCs/>
          <w:sz w:val="28"/>
          <w:szCs w:val="28"/>
        </w:rPr>
        <w:t xml:space="preserve"> </w:t>
      </w:r>
      <w:r w:rsidR="00912C6C">
        <w:rPr>
          <w:b/>
          <w:bCs/>
          <w:sz w:val="28"/>
          <w:szCs w:val="28"/>
        </w:rPr>
        <w:t>Aperçu</w:t>
      </w:r>
      <w:r w:rsidR="000E4A60" w:rsidRPr="009E0008">
        <w:rPr>
          <w:b/>
          <w:bCs/>
          <w:sz w:val="28"/>
          <w:szCs w:val="28"/>
        </w:rPr>
        <w:t xml:space="preserve"> et </w:t>
      </w:r>
      <w:r w:rsidRPr="009E0008">
        <w:rPr>
          <w:b/>
          <w:bCs/>
          <w:sz w:val="28"/>
          <w:szCs w:val="28"/>
        </w:rPr>
        <w:t>utilisation de l’</w:t>
      </w:r>
      <w:r w:rsidR="000E4A60" w:rsidRPr="009E0008">
        <w:rPr>
          <w:b/>
          <w:bCs/>
          <w:sz w:val="28"/>
          <w:szCs w:val="28"/>
        </w:rPr>
        <w:t>outil (</w:t>
      </w:r>
      <w:r w:rsidRPr="009E0008">
        <w:rPr>
          <w:b/>
          <w:bCs/>
          <w:sz w:val="28"/>
          <w:szCs w:val="28"/>
        </w:rPr>
        <w:t>application Android et site web</w:t>
      </w:r>
      <w:r w:rsidR="000E4A60" w:rsidRPr="009E0008">
        <w:rPr>
          <w:b/>
          <w:bCs/>
          <w:sz w:val="28"/>
          <w:szCs w:val="28"/>
        </w:rPr>
        <w:t>)</w:t>
      </w:r>
    </w:p>
    <w:p w14:paraId="565E581C" w14:textId="15F9195D" w:rsidR="00B0532B" w:rsidRDefault="000E4A60" w:rsidP="00863AD4">
      <w:pPr>
        <w:spacing w:line="360" w:lineRule="auto"/>
        <w:jc w:val="both"/>
      </w:pPr>
      <w:r w:rsidRPr="000E4A60">
        <w:t>La réalisat</w:t>
      </w:r>
      <w:r>
        <w:t xml:space="preserve">ion des </w:t>
      </w:r>
      <w:r w:rsidR="0024666C">
        <w:t>collecte</w:t>
      </w:r>
      <w:r>
        <w:t>s</w:t>
      </w:r>
      <w:r w:rsidR="0024666C">
        <w:t xml:space="preserve"> de données</w:t>
      </w:r>
      <w:r>
        <w:t xml:space="preserve"> peut se faire avec les outils classiques, notamment des fiches d’inventaires et des questionnaires d’enquêtes intégrant les paramètres mis en jeu décrits pour chaque indicateur dans les fiches individuelles. Néanmoins, l’utilisation d’une application Android avec un site web pour centraliser les données présente certains avantages. </w:t>
      </w:r>
      <w:r w:rsidR="00081395">
        <w:t>Entre autres, c</w:t>
      </w:r>
      <w:r>
        <w:t>et outil est plus pratique et plus instantané, ne nécessite plus la transcription des données sur un fichier Excel après les travaux de terrain ce qui constitue un gain de temps énorme pour les enquêteurs. D’autan</w:t>
      </w:r>
      <w:r w:rsidR="00CE5D96">
        <w:t>t</w:t>
      </w:r>
      <w:r>
        <w:t xml:space="preserve"> plus, </w:t>
      </w:r>
      <w:r w:rsidR="00081395">
        <w:t xml:space="preserve">le traitement des données collectées </w:t>
      </w:r>
      <w:r w:rsidR="0024666C">
        <w:t>se fait automatiquement sur le site web qui donne les résultats pour chaque indicateurs.</w:t>
      </w:r>
    </w:p>
    <w:p w14:paraId="72D71C9B" w14:textId="77777777" w:rsidR="0080445D" w:rsidRPr="004B1A2D" w:rsidRDefault="0080445D" w:rsidP="004B1A2D">
      <w:pPr>
        <w:pStyle w:val="Paragraphedeliste"/>
        <w:numPr>
          <w:ilvl w:val="0"/>
          <w:numId w:val="11"/>
        </w:numPr>
        <w:spacing w:line="360" w:lineRule="auto"/>
        <w:jc w:val="both"/>
        <w:rPr>
          <w:b/>
          <w:bCs/>
          <w:i/>
          <w:iCs/>
        </w:rPr>
      </w:pPr>
      <w:bookmarkStart w:id="42" w:name="_Toc69983806"/>
      <w:r w:rsidRPr="004B1A2D">
        <w:rPr>
          <w:b/>
          <w:bCs/>
          <w:i/>
          <w:iCs/>
        </w:rPr>
        <w:t>Inscription et téléchargement de l’application</w:t>
      </w:r>
      <w:bookmarkEnd w:id="42"/>
    </w:p>
    <w:p w14:paraId="4171526E" w14:textId="77777777" w:rsidR="0080445D" w:rsidRPr="0080445D" w:rsidRDefault="0080445D" w:rsidP="00863AD4">
      <w:pPr>
        <w:spacing w:line="360" w:lineRule="auto"/>
        <w:jc w:val="both"/>
      </w:pPr>
      <w:r w:rsidRPr="0080445D">
        <w:t xml:space="preserve">L’opérateur doit s’inscrire sur le site/application web du Ministère en charge des forêts </w:t>
      </w:r>
      <w:r w:rsidRPr="0080445D">
        <w:rPr>
          <w:b/>
          <w:bCs/>
        </w:rPr>
        <w:t>« adresse »</w:t>
      </w:r>
      <w:r w:rsidRPr="0080445D">
        <w:t xml:space="preserve"> afin de pouvoir télécharger l’application Android : </w:t>
      </w:r>
      <w:r w:rsidRPr="0080445D">
        <w:rPr>
          <w:b/>
          <w:bCs/>
          <w:i/>
          <w:iCs/>
        </w:rPr>
        <w:t>« Nom de l’app »</w:t>
      </w:r>
      <w:r w:rsidRPr="0080445D">
        <w:t>.</w:t>
      </w:r>
    </w:p>
    <w:p w14:paraId="337423FF" w14:textId="77777777" w:rsidR="0080445D" w:rsidRPr="0080445D" w:rsidRDefault="0080445D" w:rsidP="00863AD4">
      <w:pPr>
        <w:spacing w:line="360" w:lineRule="auto"/>
        <w:jc w:val="both"/>
      </w:pPr>
      <w:r w:rsidRPr="0080445D">
        <w:t xml:space="preserve">Il s’agit de remplir les informations nécessaires permettant de se connecter à </w:t>
      </w:r>
      <w:r w:rsidRPr="0080445D">
        <w:rPr>
          <w:b/>
          <w:bCs/>
          <w:i/>
          <w:iCs/>
        </w:rPr>
        <w:t xml:space="preserve">« Nom de l’app » </w:t>
      </w:r>
      <w:r w:rsidRPr="0080445D">
        <w:t>ultérieurement. Cette opération implique l’utilisation d’une connexion internet (sur ordinateur ou sur l’appareil Android portable).</w:t>
      </w:r>
    </w:p>
    <w:p w14:paraId="0995C5E8" w14:textId="77777777" w:rsidR="0080445D" w:rsidRPr="004B1A2D" w:rsidRDefault="0080445D" w:rsidP="004B1A2D">
      <w:pPr>
        <w:spacing w:line="360" w:lineRule="auto"/>
        <w:jc w:val="center"/>
        <w:rPr>
          <w:sz w:val="28"/>
          <w:szCs w:val="28"/>
        </w:rPr>
      </w:pPr>
      <w:bookmarkStart w:id="43" w:name="_Toc69983807"/>
      <w:r w:rsidRPr="004B1A2D">
        <w:rPr>
          <w:sz w:val="28"/>
          <w:szCs w:val="28"/>
        </w:rPr>
        <w:t>Utilisation de l’application Android</w:t>
      </w:r>
      <w:bookmarkEnd w:id="43"/>
    </w:p>
    <w:p w14:paraId="51D607B5" w14:textId="77777777" w:rsidR="0080445D" w:rsidRPr="004B1A2D" w:rsidRDefault="0080445D" w:rsidP="004B1A2D">
      <w:pPr>
        <w:pStyle w:val="Paragraphedeliste"/>
        <w:numPr>
          <w:ilvl w:val="0"/>
          <w:numId w:val="11"/>
        </w:numPr>
        <w:spacing w:line="360" w:lineRule="auto"/>
        <w:jc w:val="both"/>
        <w:rPr>
          <w:b/>
          <w:bCs/>
          <w:i/>
        </w:rPr>
      </w:pPr>
      <w:bookmarkStart w:id="44" w:name="_Toc69983808"/>
      <w:r w:rsidRPr="004B1A2D">
        <w:rPr>
          <w:b/>
          <w:bCs/>
          <w:i/>
        </w:rPr>
        <w:t>Installation de l’application</w:t>
      </w:r>
      <w:bookmarkEnd w:id="44"/>
    </w:p>
    <w:p w14:paraId="1AF28DF6" w14:textId="77777777" w:rsidR="0080445D" w:rsidRPr="0080445D" w:rsidRDefault="0080445D" w:rsidP="00863AD4">
      <w:pPr>
        <w:spacing w:line="360" w:lineRule="auto"/>
        <w:jc w:val="both"/>
      </w:pPr>
      <w:r w:rsidRPr="0080445D">
        <w:t>Une fois l’application mobile téléchargée, il suffit de la copier dans un appareil Android portable (tablette ou téléphone).</w:t>
      </w:r>
    </w:p>
    <w:p w14:paraId="663CDCB9" w14:textId="3B708086" w:rsidR="00912C6C" w:rsidRDefault="0080445D" w:rsidP="00863AD4">
      <w:pPr>
        <w:spacing w:line="360" w:lineRule="auto"/>
        <w:jc w:val="both"/>
      </w:pPr>
      <w:r w:rsidRPr="0080445D">
        <w:rPr>
          <w:b/>
          <w:bCs/>
        </w:rPr>
        <w:t>NB</w:t>
      </w:r>
      <w:r w:rsidRPr="0080445D">
        <w:t xml:space="preserve"> : Si l’option « Autoriser l’installation des applications de sources autres que Play Store » n’est pas encore active sur votre appareil, Il faut aller dans </w:t>
      </w:r>
      <w:r w:rsidRPr="0080445D">
        <w:rPr>
          <w:b/>
          <w:bCs/>
        </w:rPr>
        <w:t>« Paramètres &gt; Général/paramètres avancés (selon l’appareil) &gt; Sécurité &gt; Sources inconnues (à activer et faire OK) »</w:t>
      </w:r>
      <w:r w:rsidRPr="0080445D">
        <w:t xml:space="preserve">. Si le chemin est différent, il suffit de faire une recherche dans </w:t>
      </w:r>
      <w:r w:rsidRPr="0080445D">
        <w:rPr>
          <w:b/>
          <w:bCs/>
        </w:rPr>
        <w:t>Paramètre</w:t>
      </w:r>
      <w:r w:rsidRPr="0080445D">
        <w:t>.</w:t>
      </w:r>
    </w:p>
    <w:p w14:paraId="65FF7962" w14:textId="77777777" w:rsidR="00912C6C" w:rsidRDefault="00912C6C" w:rsidP="00863AD4">
      <w:pPr>
        <w:spacing w:line="360" w:lineRule="auto"/>
      </w:pPr>
      <w:r>
        <w:br w:type="page"/>
      </w:r>
    </w:p>
    <w:tbl>
      <w:tblPr>
        <w:tblStyle w:val="Grilledutableau"/>
        <w:tblW w:w="9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3186"/>
        <w:gridCol w:w="3196"/>
      </w:tblGrid>
      <w:tr w:rsidR="0080445D" w:rsidRPr="0080445D" w14:paraId="7A7F0106" w14:textId="77777777" w:rsidTr="00912C6C">
        <w:trPr>
          <w:jc w:val="center"/>
        </w:trPr>
        <w:tc>
          <w:tcPr>
            <w:tcW w:w="3199" w:type="dxa"/>
          </w:tcPr>
          <w:p w14:paraId="47EC948D" w14:textId="77777777" w:rsidR="0080445D" w:rsidRPr="0080445D" w:rsidRDefault="0080445D" w:rsidP="00863AD4">
            <w:pPr>
              <w:spacing w:after="160" w:line="360" w:lineRule="auto"/>
              <w:jc w:val="center"/>
              <w:rPr>
                <w:i/>
                <w:iCs/>
              </w:rPr>
            </w:pPr>
            <w:r w:rsidRPr="0080445D">
              <w:rPr>
                <w:i/>
                <w:iCs/>
                <w:noProof/>
              </w:rPr>
              <w:lastRenderedPageBreak/>
              <w:drawing>
                <wp:inline distT="0" distB="0" distL="0" distR="0" wp14:anchorId="6C09F858" wp14:editId="55893570">
                  <wp:extent cx="1894467" cy="288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8">
                            <a:extLst>
                              <a:ext uri="{28A0092B-C50C-407E-A947-70E740481C1C}">
                                <a14:useLocalDpi xmlns:a14="http://schemas.microsoft.com/office/drawing/2010/main" val="0"/>
                              </a:ext>
                            </a:extLst>
                          </a:blip>
                          <a:stretch>
                            <a:fillRect/>
                          </a:stretch>
                        </pic:blipFill>
                        <pic:spPr>
                          <a:xfrm>
                            <a:off x="0" y="0"/>
                            <a:ext cx="1894467" cy="2880000"/>
                          </a:xfrm>
                          <a:prstGeom prst="rect">
                            <a:avLst/>
                          </a:prstGeom>
                        </pic:spPr>
                      </pic:pic>
                    </a:graphicData>
                  </a:graphic>
                </wp:inline>
              </w:drawing>
            </w:r>
          </w:p>
        </w:tc>
        <w:tc>
          <w:tcPr>
            <w:tcW w:w="3186" w:type="dxa"/>
          </w:tcPr>
          <w:p w14:paraId="5A0BBBEA" w14:textId="77777777" w:rsidR="0080445D" w:rsidRPr="0080445D" w:rsidRDefault="0080445D" w:rsidP="00863AD4">
            <w:pPr>
              <w:spacing w:after="160" w:line="360" w:lineRule="auto"/>
              <w:jc w:val="center"/>
              <w:rPr>
                <w:i/>
                <w:iCs/>
              </w:rPr>
            </w:pPr>
            <w:r w:rsidRPr="0080445D">
              <w:rPr>
                <w:i/>
                <w:iCs/>
                <w:noProof/>
              </w:rPr>
              <w:drawing>
                <wp:inline distT="0" distB="0" distL="0" distR="0" wp14:anchorId="0BD3F211" wp14:editId="5CFA2AA0">
                  <wp:extent cx="1885835" cy="288000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1885835" cy="2880000"/>
                          </a:xfrm>
                          <a:prstGeom prst="rect">
                            <a:avLst/>
                          </a:prstGeom>
                        </pic:spPr>
                      </pic:pic>
                    </a:graphicData>
                  </a:graphic>
                </wp:inline>
              </w:drawing>
            </w:r>
          </w:p>
        </w:tc>
        <w:tc>
          <w:tcPr>
            <w:tcW w:w="3196" w:type="dxa"/>
          </w:tcPr>
          <w:p w14:paraId="0F34DFEB" w14:textId="77777777" w:rsidR="0080445D" w:rsidRPr="0080445D" w:rsidRDefault="0080445D" w:rsidP="00863AD4">
            <w:pPr>
              <w:spacing w:after="160" w:line="360" w:lineRule="auto"/>
              <w:jc w:val="center"/>
              <w:rPr>
                <w:i/>
                <w:iCs/>
              </w:rPr>
            </w:pPr>
            <w:r w:rsidRPr="0080445D">
              <w:rPr>
                <w:i/>
                <w:iCs/>
                <w:noProof/>
              </w:rPr>
              <w:drawing>
                <wp:inline distT="0" distB="0" distL="0" distR="0" wp14:anchorId="04421BAA" wp14:editId="772BEC92">
                  <wp:extent cx="1892718" cy="28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1892718" cy="2880000"/>
                          </a:xfrm>
                          <a:prstGeom prst="rect">
                            <a:avLst/>
                          </a:prstGeom>
                        </pic:spPr>
                      </pic:pic>
                    </a:graphicData>
                  </a:graphic>
                </wp:inline>
              </w:drawing>
            </w:r>
          </w:p>
        </w:tc>
      </w:tr>
      <w:tr w:rsidR="0080445D" w:rsidRPr="004B1A2D" w14:paraId="30ADDDF9" w14:textId="77777777" w:rsidTr="00912C6C">
        <w:trPr>
          <w:trHeight w:val="486"/>
          <w:jc w:val="center"/>
        </w:trPr>
        <w:tc>
          <w:tcPr>
            <w:tcW w:w="3199" w:type="dxa"/>
          </w:tcPr>
          <w:p w14:paraId="75574E65" w14:textId="77777777" w:rsidR="0080445D" w:rsidRPr="004B1A2D" w:rsidRDefault="0080445D" w:rsidP="00863AD4">
            <w:pPr>
              <w:spacing w:after="160" w:line="360" w:lineRule="auto"/>
              <w:jc w:val="center"/>
              <w:rPr>
                <w:i/>
                <w:iCs/>
              </w:rPr>
            </w:pPr>
            <w:r w:rsidRPr="004B1A2D">
              <w:rPr>
                <w:i/>
                <w:iCs/>
              </w:rPr>
              <w:t xml:space="preserve">Capture </w:t>
            </w:r>
            <w:r w:rsidR="00337F87" w:rsidRPr="004B1A2D">
              <w:rPr>
                <w:i/>
                <w:iCs/>
              </w:rPr>
              <w:fldChar w:fldCharType="begin"/>
            </w:r>
            <w:r w:rsidR="00337F87" w:rsidRPr="004B1A2D">
              <w:rPr>
                <w:i/>
                <w:iCs/>
              </w:rPr>
              <w:instrText xml:space="preserve"> SEQ Capture \* ARABIC </w:instrText>
            </w:r>
            <w:r w:rsidR="00337F87" w:rsidRPr="004B1A2D">
              <w:rPr>
                <w:i/>
                <w:iCs/>
              </w:rPr>
              <w:fldChar w:fldCharType="separate"/>
            </w:r>
            <w:r w:rsidRPr="004B1A2D">
              <w:rPr>
                <w:i/>
                <w:iCs/>
              </w:rPr>
              <w:t>1</w:t>
            </w:r>
            <w:r w:rsidR="00337F87" w:rsidRPr="004B1A2D">
              <w:rPr>
                <w:i/>
                <w:iCs/>
              </w:rPr>
              <w:fldChar w:fldCharType="end"/>
            </w:r>
            <w:r w:rsidRPr="004B1A2D">
              <w:rPr>
                <w:i/>
                <w:iCs/>
              </w:rPr>
              <w:t xml:space="preserve"> : Aperçu du paramètre de sécurité</w:t>
            </w:r>
          </w:p>
        </w:tc>
        <w:tc>
          <w:tcPr>
            <w:tcW w:w="3186" w:type="dxa"/>
          </w:tcPr>
          <w:p w14:paraId="3167656A" w14:textId="77777777" w:rsidR="0080445D" w:rsidRPr="004B1A2D" w:rsidRDefault="0080445D" w:rsidP="00863AD4">
            <w:pPr>
              <w:spacing w:after="160" w:line="360" w:lineRule="auto"/>
              <w:jc w:val="center"/>
              <w:rPr>
                <w:i/>
                <w:iCs/>
              </w:rPr>
            </w:pPr>
            <w:r w:rsidRPr="004B1A2D">
              <w:rPr>
                <w:i/>
                <w:iCs/>
              </w:rPr>
              <w:t xml:space="preserve">Capture </w:t>
            </w:r>
            <w:r w:rsidR="00337F87" w:rsidRPr="004B1A2D">
              <w:rPr>
                <w:i/>
                <w:iCs/>
              </w:rPr>
              <w:fldChar w:fldCharType="begin"/>
            </w:r>
            <w:r w:rsidR="00337F87" w:rsidRPr="004B1A2D">
              <w:rPr>
                <w:i/>
                <w:iCs/>
              </w:rPr>
              <w:instrText xml:space="preserve"> SEQ Capture \* ARABIC </w:instrText>
            </w:r>
            <w:r w:rsidR="00337F87" w:rsidRPr="004B1A2D">
              <w:rPr>
                <w:i/>
                <w:iCs/>
              </w:rPr>
              <w:fldChar w:fldCharType="separate"/>
            </w:r>
            <w:r w:rsidRPr="004B1A2D">
              <w:rPr>
                <w:i/>
                <w:iCs/>
              </w:rPr>
              <w:t>2</w:t>
            </w:r>
            <w:r w:rsidR="00337F87" w:rsidRPr="004B1A2D">
              <w:rPr>
                <w:i/>
                <w:iCs/>
              </w:rPr>
              <w:fldChar w:fldCharType="end"/>
            </w:r>
            <w:r w:rsidRPr="004B1A2D">
              <w:rPr>
                <w:i/>
                <w:iCs/>
              </w:rPr>
              <w:t xml:space="preserve"> : Activation des "Sources inconnues"</w:t>
            </w:r>
          </w:p>
        </w:tc>
        <w:tc>
          <w:tcPr>
            <w:tcW w:w="3196" w:type="dxa"/>
          </w:tcPr>
          <w:p w14:paraId="66AA5C90" w14:textId="77777777" w:rsidR="0080445D" w:rsidRPr="004B1A2D" w:rsidRDefault="0080445D" w:rsidP="00863AD4">
            <w:pPr>
              <w:spacing w:after="160" w:line="360" w:lineRule="auto"/>
              <w:jc w:val="center"/>
              <w:rPr>
                <w:i/>
                <w:iCs/>
              </w:rPr>
            </w:pPr>
            <w:r w:rsidRPr="004B1A2D">
              <w:rPr>
                <w:i/>
                <w:iCs/>
              </w:rPr>
              <w:t xml:space="preserve">Capture </w:t>
            </w:r>
            <w:r w:rsidR="00337F87" w:rsidRPr="004B1A2D">
              <w:rPr>
                <w:i/>
                <w:iCs/>
              </w:rPr>
              <w:fldChar w:fldCharType="begin"/>
            </w:r>
            <w:r w:rsidR="00337F87" w:rsidRPr="004B1A2D">
              <w:rPr>
                <w:i/>
                <w:iCs/>
              </w:rPr>
              <w:instrText xml:space="preserve"> SEQ Capture \* ARABIC </w:instrText>
            </w:r>
            <w:r w:rsidR="00337F87" w:rsidRPr="004B1A2D">
              <w:rPr>
                <w:i/>
                <w:iCs/>
              </w:rPr>
              <w:fldChar w:fldCharType="separate"/>
            </w:r>
            <w:r w:rsidRPr="004B1A2D">
              <w:rPr>
                <w:i/>
                <w:iCs/>
              </w:rPr>
              <w:t>3</w:t>
            </w:r>
            <w:r w:rsidR="00337F87" w:rsidRPr="004B1A2D">
              <w:rPr>
                <w:i/>
                <w:iCs/>
              </w:rPr>
              <w:fldChar w:fldCharType="end"/>
            </w:r>
            <w:r w:rsidRPr="004B1A2D">
              <w:rPr>
                <w:i/>
                <w:iCs/>
              </w:rPr>
              <w:t xml:space="preserve"> : "Installation des applications de Sources inconnues" activée</w:t>
            </w:r>
          </w:p>
        </w:tc>
      </w:tr>
    </w:tbl>
    <w:p w14:paraId="1929753F" w14:textId="77777777" w:rsidR="0080445D" w:rsidRPr="0080445D" w:rsidRDefault="0080445D" w:rsidP="00863AD4">
      <w:pPr>
        <w:spacing w:line="360" w:lineRule="auto"/>
        <w:jc w:val="both"/>
        <w:rPr>
          <w:b/>
          <w:bCs/>
        </w:rPr>
      </w:pPr>
      <w:r w:rsidRPr="0080445D">
        <w:t>A partir de cette étape, l’application peut être installée en cliquant sur « .</w:t>
      </w:r>
      <w:proofErr w:type="spellStart"/>
      <w:r w:rsidRPr="0080445D">
        <w:t>apk</w:t>
      </w:r>
      <w:proofErr w:type="spellEnd"/>
      <w:r w:rsidRPr="0080445D">
        <w:t xml:space="preserve"> » puis </w:t>
      </w:r>
      <w:r w:rsidRPr="0080445D">
        <w:rPr>
          <w:b/>
          <w:bCs/>
        </w:rPr>
        <w:t>« Installer ».</w:t>
      </w:r>
    </w:p>
    <w:p w14:paraId="6683B8EB" w14:textId="77777777" w:rsidR="0080445D" w:rsidRPr="004B1A2D" w:rsidRDefault="0080445D" w:rsidP="004B1A2D">
      <w:pPr>
        <w:pStyle w:val="Paragraphedeliste"/>
        <w:numPr>
          <w:ilvl w:val="0"/>
          <w:numId w:val="11"/>
        </w:numPr>
        <w:spacing w:line="360" w:lineRule="auto"/>
        <w:jc w:val="both"/>
        <w:rPr>
          <w:b/>
          <w:bCs/>
          <w:i/>
        </w:rPr>
      </w:pPr>
      <w:bookmarkStart w:id="45" w:name="_Toc69983809"/>
      <w:r w:rsidRPr="004B1A2D">
        <w:rPr>
          <w:b/>
          <w:bCs/>
          <w:i/>
        </w:rPr>
        <w:t>Utilisation proprement-dite</w:t>
      </w:r>
      <w:bookmarkEnd w:id="45"/>
    </w:p>
    <w:p w14:paraId="6659F0B3" w14:textId="77777777" w:rsidR="0080445D" w:rsidRPr="0080445D" w:rsidRDefault="0080445D" w:rsidP="00863AD4">
      <w:pPr>
        <w:spacing w:line="360" w:lineRule="auto"/>
        <w:jc w:val="both"/>
      </w:pPr>
      <w:r w:rsidRPr="0080445D">
        <w:t xml:space="preserve">Avant d’accéder au remplissage des formulaires dans l’application mobile, l’opérateur doit s’enregistrer à partir de son </w:t>
      </w:r>
      <w:r w:rsidRPr="0080445D">
        <w:rPr>
          <w:b/>
          <w:bCs/>
        </w:rPr>
        <w:t>adresse mail</w:t>
      </w:r>
      <w:r w:rsidRPr="0080445D">
        <w:t xml:space="preserve"> et de son </w:t>
      </w:r>
      <w:r w:rsidRPr="0080445D">
        <w:rPr>
          <w:b/>
          <w:bCs/>
        </w:rPr>
        <w:t>mot de passe</w:t>
      </w:r>
      <w:r w:rsidRPr="0080445D">
        <w:t xml:space="preserve"> afin d’y accéder. Une connexion internet est aussi primordiale pour cette étape.</w:t>
      </w:r>
    </w:p>
    <w:p w14:paraId="2374015C" w14:textId="77777777" w:rsidR="0080445D" w:rsidRPr="0080445D" w:rsidRDefault="0080445D" w:rsidP="00863AD4">
      <w:pPr>
        <w:spacing w:line="360" w:lineRule="auto"/>
        <w:jc w:val="center"/>
        <w:rPr>
          <w:b/>
          <w:bCs/>
        </w:rPr>
      </w:pPr>
      <w:r w:rsidRPr="0080445D">
        <w:rPr>
          <w:b/>
          <w:bCs/>
          <w:noProof/>
        </w:rPr>
        <w:drawing>
          <wp:inline distT="0" distB="0" distL="0" distR="0" wp14:anchorId="6B1F967F" wp14:editId="61A3D97E">
            <wp:extent cx="1639938" cy="28800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a:extLst>
                        <a:ext uri="{28A0092B-C50C-407E-A947-70E740481C1C}">
                          <a14:useLocalDpi xmlns:a14="http://schemas.microsoft.com/office/drawing/2010/main" val="0"/>
                        </a:ext>
                      </a:extLst>
                    </a:blip>
                    <a:stretch>
                      <a:fillRect/>
                    </a:stretch>
                  </pic:blipFill>
                  <pic:spPr>
                    <a:xfrm>
                      <a:off x="0" y="0"/>
                      <a:ext cx="1639938" cy="2880000"/>
                    </a:xfrm>
                    <a:prstGeom prst="rect">
                      <a:avLst/>
                    </a:prstGeom>
                  </pic:spPr>
                </pic:pic>
              </a:graphicData>
            </a:graphic>
          </wp:inline>
        </w:drawing>
      </w:r>
    </w:p>
    <w:p w14:paraId="3464E357" w14:textId="77777777" w:rsidR="0080445D" w:rsidRPr="0080445D" w:rsidRDefault="0080445D" w:rsidP="00863AD4">
      <w:pPr>
        <w:spacing w:line="360" w:lineRule="auto"/>
        <w:jc w:val="center"/>
        <w:rPr>
          <w:i/>
          <w:iCs/>
        </w:rPr>
      </w:pPr>
      <w:r w:rsidRPr="0080445D">
        <w:rPr>
          <w:i/>
          <w:iCs/>
        </w:rPr>
        <w:t xml:space="preserve">Capture </w:t>
      </w:r>
      <w:r w:rsidRPr="0080445D">
        <w:rPr>
          <w:i/>
          <w:iCs/>
        </w:rPr>
        <w:fldChar w:fldCharType="begin"/>
      </w:r>
      <w:r w:rsidRPr="0080445D">
        <w:rPr>
          <w:i/>
          <w:iCs/>
        </w:rPr>
        <w:instrText xml:space="preserve"> SEQ Capture \* ARABIC </w:instrText>
      </w:r>
      <w:r w:rsidRPr="0080445D">
        <w:rPr>
          <w:i/>
          <w:iCs/>
        </w:rPr>
        <w:fldChar w:fldCharType="separate"/>
      </w:r>
      <w:r w:rsidRPr="0080445D">
        <w:rPr>
          <w:i/>
          <w:iCs/>
        </w:rPr>
        <w:t>4</w:t>
      </w:r>
      <w:r w:rsidRPr="0080445D">
        <w:fldChar w:fldCharType="end"/>
      </w:r>
      <w:r w:rsidRPr="0080445D">
        <w:rPr>
          <w:i/>
          <w:iCs/>
        </w:rPr>
        <w:t xml:space="preserve"> : Login dans l'application mobile</w:t>
      </w:r>
    </w:p>
    <w:p w14:paraId="1D724DEF" w14:textId="77777777" w:rsidR="0080445D" w:rsidRPr="0080445D" w:rsidRDefault="0080445D" w:rsidP="00863AD4">
      <w:pPr>
        <w:spacing w:line="360" w:lineRule="auto"/>
        <w:jc w:val="both"/>
      </w:pPr>
      <w:r w:rsidRPr="0080445D">
        <w:lastRenderedPageBreak/>
        <w:t>L’onglet Accueil/Home va ensuite s’afficher, permettant à l’enquêteur de choisir le formulaire à remplir ; quatre (4) choix s’offre à lui : Ménage, Charbonnier, Données secondaires et Barrière.</w:t>
      </w:r>
    </w:p>
    <w:p w14:paraId="45248EAF" w14:textId="77777777" w:rsidR="0080445D" w:rsidRPr="0080445D" w:rsidRDefault="0080445D" w:rsidP="00863AD4">
      <w:pPr>
        <w:spacing w:line="360" w:lineRule="auto"/>
        <w:jc w:val="center"/>
      </w:pPr>
      <w:r w:rsidRPr="0080445D">
        <w:rPr>
          <w:noProof/>
        </w:rPr>
        <w:drawing>
          <wp:inline distT="0" distB="0" distL="0" distR="0" wp14:anchorId="0B416E58" wp14:editId="5501FB4A">
            <wp:extent cx="1630358" cy="2880000"/>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1630358" cy="2880000"/>
                    </a:xfrm>
                    <a:prstGeom prst="rect">
                      <a:avLst/>
                    </a:prstGeom>
                  </pic:spPr>
                </pic:pic>
              </a:graphicData>
            </a:graphic>
          </wp:inline>
        </w:drawing>
      </w:r>
    </w:p>
    <w:p w14:paraId="2682A6A5" w14:textId="77777777" w:rsidR="0080445D" w:rsidRPr="0080445D" w:rsidRDefault="0080445D" w:rsidP="00863AD4">
      <w:pPr>
        <w:spacing w:line="360" w:lineRule="auto"/>
        <w:jc w:val="center"/>
        <w:rPr>
          <w:i/>
          <w:iCs/>
        </w:rPr>
      </w:pPr>
      <w:r w:rsidRPr="0080445D">
        <w:rPr>
          <w:i/>
          <w:iCs/>
        </w:rPr>
        <w:t xml:space="preserve">Capture </w:t>
      </w:r>
      <w:r w:rsidRPr="0080445D">
        <w:rPr>
          <w:i/>
          <w:iCs/>
        </w:rPr>
        <w:fldChar w:fldCharType="begin"/>
      </w:r>
      <w:r w:rsidRPr="0080445D">
        <w:rPr>
          <w:i/>
          <w:iCs/>
        </w:rPr>
        <w:instrText xml:space="preserve"> SEQ Capture \* ARABIC </w:instrText>
      </w:r>
      <w:r w:rsidRPr="0080445D">
        <w:rPr>
          <w:i/>
          <w:iCs/>
        </w:rPr>
        <w:fldChar w:fldCharType="separate"/>
      </w:r>
      <w:r w:rsidRPr="0080445D">
        <w:rPr>
          <w:i/>
          <w:iCs/>
        </w:rPr>
        <w:t>5</w:t>
      </w:r>
      <w:r w:rsidRPr="0080445D">
        <w:fldChar w:fldCharType="end"/>
      </w:r>
      <w:r w:rsidRPr="0080445D">
        <w:rPr>
          <w:i/>
          <w:iCs/>
        </w:rPr>
        <w:t xml:space="preserve"> : Accueil</w:t>
      </w:r>
    </w:p>
    <w:p w14:paraId="7D3FBDF6" w14:textId="77777777" w:rsidR="0080445D" w:rsidRPr="0080445D" w:rsidRDefault="0080445D" w:rsidP="00863AD4">
      <w:pPr>
        <w:spacing w:line="360" w:lineRule="auto"/>
        <w:jc w:val="both"/>
        <w:rPr>
          <w:b/>
          <w:bCs/>
          <w:i/>
          <w:iCs/>
        </w:rPr>
      </w:pPr>
      <w:r w:rsidRPr="0080445D">
        <w:t xml:space="preserve">Sur cette même page, s’affiche les listes des enquêtes déjà effectuées et l’opérateur peut y consulter ses enregistrements et faire des modifications si nécessaires. Il peut également y exporter les renseignements sous forme </w:t>
      </w:r>
      <w:r w:rsidRPr="0080445D">
        <w:rPr>
          <w:b/>
          <w:bCs/>
          <w:i/>
          <w:iCs/>
        </w:rPr>
        <w:t>« csv »</w:t>
      </w:r>
      <w:r w:rsidRPr="0080445D">
        <w:t xml:space="preserve"> exploitable sur ordinateur</w:t>
      </w:r>
      <w:r w:rsidRPr="0080445D">
        <w:rPr>
          <w:b/>
          <w:bCs/>
          <w:i/>
          <w:iCs/>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0445D" w:rsidRPr="0080445D" w14:paraId="002B2397" w14:textId="77777777" w:rsidTr="008C0B01">
        <w:trPr>
          <w:jc w:val="center"/>
        </w:trPr>
        <w:tc>
          <w:tcPr>
            <w:tcW w:w="4531" w:type="dxa"/>
          </w:tcPr>
          <w:p w14:paraId="11678526" w14:textId="77777777" w:rsidR="0080445D" w:rsidRPr="0080445D" w:rsidRDefault="0080445D" w:rsidP="00863AD4">
            <w:pPr>
              <w:spacing w:after="160" w:line="360" w:lineRule="auto"/>
              <w:jc w:val="center"/>
              <w:rPr>
                <w:i/>
                <w:iCs/>
              </w:rPr>
            </w:pPr>
            <w:r w:rsidRPr="0080445D">
              <w:rPr>
                <w:i/>
                <w:iCs/>
                <w:noProof/>
              </w:rPr>
              <w:drawing>
                <wp:inline distT="0" distB="0" distL="0" distR="0" wp14:anchorId="012EA334" wp14:editId="7AFE8660">
                  <wp:extent cx="1625879" cy="2880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3">
                            <a:extLst>
                              <a:ext uri="{28A0092B-C50C-407E-A947-70E740481C1C}">
                                <a14:useLocalDpi xmlns:a14="http://schemas.microsoft.com/office/drawing/2010/main" val="0"/>
                              </a:ext>
                            </a:extLst>
                          </a:blip>
                          <a:stretch>
                            <a:fillRect/>
                          </a:stretch>
                        </pic:blipFill>
                        <pic:spPr>
                          <a:xfrm>
                            <a:off x="0" y="0"/>
                            <a:ext cx="1625879" cy="2880000"/>
                          </a:xfrm>
                          <a:prstGeom prst="rect">
                            <a:avLst/>
                          </a:prstGeom>
                        </pic:spPr>
                      </pic:pic>
                    </a:graphicData>
                  </a:graphic>
                </wp:inline>
              </w:drawing>
            </w:r>
          </w:p>
        </w:tc>
        <w:tc>
          <w:tcPr>
            <w:tcW w:w="4531" w:type="dxa"/>
          </w:tcPr>
          <w:p w14:paraId="4B6BC32B" w14:textId="77777777" w:rsidR="0080445D" w:rsidRPr="0080445D" w:rsidRDefault="0080445D" w:rsidP="00863AD4">
            <w:pPr>
              <w:spacing w:after="160" w:line="360" w:lineRule="auto"/>
              <w:jc w:val="center"/>
              <w:rPr>
                <w:i/>
                <w:iCs/>
              </w:rPr>
            </w:pPr>
            <w:r w:rsidRPr="0080445D">
              <w:rPr>
                <w:i/>
                <w:iCs/>
                <w:noProof/>
              </w:rPr>
              <w:drawing>
                <wp:inline distT="0" distB="0" distL="0" distR="0" wp14:anchorId="749D4FAC" wp14:editId="78158E0C">
                  <wp:extent cx="1626359" cy="288000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t="3623" b="7836"/>
                          <a:stretch/>
                        </pic:blipFill>
                        <pic:spPr bwMode="auto">
                          <a:xfrm>
                            <a:off x="0" y="0"/>
                            <a:ext cx="1626359" cy="2880000"/>
                          </a:xfrm>
                          <a:prstGeom prst="rect">
                            <a:avLst/>
                          </a:prstGeom>
                          <a:ln>
                            <a:noFill/>
                          </a:ln>
                          <a:extLst>
                            <a:ext uri="{53640926-AAD7-44D8-BBD7-CCE9431645EC}">
                              <a14:shadowObscured xmlns:a14="http://schemas.microsoft.com/office/drawing/2010/main"/>
                            </a:ext>
                          </a:extLst>
                        </pic:spPr>
                      </pic:pic>
                    </a:graphicData>
                  </a:graphic>
                </wp:inline>
              </w:drawing>
            </w:r>
          </w:p>
        </w:tc>
      </w:tr>
      <w:tr w:rsidR="0080445D" w:rsidRPr="004B1A2D" w14:paraId="4A4DEDE2" w14:textId="77777777" w:rsidTr="008C0B01">
        <w:trPr>
          <w:jc w:val="center"/>
        </w:trPr>
        <w:tc>
          <w:tcPr>
            <w:tcW w:w="9062" w:type="dxa"/>
            <w:gridSpan w:val="2"/>
          </w:tcPr>
          <w:p w14:paraId="1200F89A" w14:textId="77777777" w:rsidR="0080445D" w:rsidRPr="004B1A2D" w:rsidRDefault="0080445D" w:rsidP="00863AD4">
            <w:pPr>
              <w:spacing w:after="160" w:line="360" w:lineRule="auto"/>
              <w:jc w:val="center"/>
              <w:rPr>
                <w:i/>
                <w:iCs/>
              </w:rPr>
            </w:pPr>
            <w:r w:rsidRPr="004B1A2D">
              <w:rPr>
                <w:i/>
                <w:iCs/>
              </w:rPr>
              <w:t xml:space="preserve">Capture </w:t>
            </w:r>
            <w:r w:rsidR="00337F87" w:rsidRPr="004B1A2D">
              <w:rPr>
                <w:i/>
                <w:iCs/>
              </w:rPr>
              <w:fldChar w:fldCharType="begin"/>
            </w:r>
            <w:r w:rsidR="00337F87" w:rsidRPr="004B1A2D">
              <w:rPr>
                <w:i/>
                <w:iCs/>
              </w:rPr>
              <w:instrText xml:space="preserve"> SEQ Capture \* ARABIC </w:instrText>
            </w:r>
            <w:r w:rsidR="00337F87" w:rsidRPr="004B1A2D">
              <w:rPr>
                <w:i/>
                <w:iCs/>
              </w:rPr>
              <w:fldChar w:fldCharType="separate"/>
            </w:r>
            <w:r w:rsidRPr="004B1A2D">
              <w:rPr>
                <w:i/>
                <w:iCs/>
              </w:rPr>
              <w:t>6</w:t>
            </w:r>
            <w:r w:rsidR="00337F87" w:rsidRPr="004B1A2D">
              <w:rPr>
                <w:i/>
                <w:iCs/>
              </w:rPr>
              <w:fldChar w:fldCharType="end"/>
            </w:r>
            <w:r w:rsidRPr="004B1A2D">
              <w:rPr>
                <w:i/>
                <w:iCs/>
              </w:rPr>
              <w:t xml:space="preserve"> : Listes des enregistrements</w:t>
            </w:r>
          </w:p>
        </w:tc>
      </w:tr>
    </w:tbl>
    <w:p w14:paraId="04177E73" w14:textId="0B20DF05" w:rsidR="00912C6C" w:rsidRDefault="0080445D" w:rsidP="00863AD4">
      <w:pPr>
        <w:spacing w:line="360" w:lineRule="auto"/>
        <w:jc w:val="both"/>
      </w:pPr>
      <w:r w:rsidRPr="0080445D">
        <w:t>En choisissant sur l’un des formulaires à compléter, l’enquêteur accède aux détails pour chaque formulaire.</w:t>
      </w:r>
    </w:p>
    <w:p w14:paraId="67C251FC" w14:textId="77777777" w:rsidR="0080445D" w:rsidRPr="004B1A2D" w:rsidRDefault="0080445D" w:rsidP="004B1A2D">
      <w:pPr>
        <w:pStyle w:val="Paragraphedeliste"/>
        <w:numPr>
          <w:ilvl w:val="0"/>
          <w:numId w:val="11"/>
        </w:numPr>
        <w:spacing w:line="360" w:lineRule="auto"/>
        <w:jc w:val="both"/>
        <w:rPr>
          <w:b/>
          <w:bCs/>
          <w:i/>
          <w:iCs/>
        </w:rPr>
      </w:pPr>
      <w:bookmarkStart w:id="46" w:name="_Toc69983815"/>
      <w:r w:rsidRPr="004B1A2D">
        <w:rPr>
          <w:b/>
          <w:bCs/>
          <w:i/>
          <w:iCs/>
        </w:rPr>
        <w:lastRenderedPageBreak/>
        <w:t>Aperçu du site/application web</w:t>
      </w:r>
      <w:bookmarkEnd w:id="46"/>
    </w:p>
    <w:p w14:paraId="24D02703" w14:textId="77777777" w:rsidR="0080445D" w:rsidRPr="0080445D" w:rsidRDefault="0080445D" w:rsidP="00863AD4">
      <w:pPr>
        <w:spacing w:line="360" w:lineRule="auto"/>
        <w:jc w:val="both"/>
      </w:pPr>
      <w:r w:rsidRPr="0080445D">
        <w:t>L’application web est une interface qui permet de visualiser les résultats globaux issus des enquêtes réalisées sur terrain. Elle est consultable sur www…… .</w:t>
      </w:r>
    </w:p>
    <w:p w14:paraId="6075583C" w14:textId="77777777" w:rsidR="0080445D" w:rsidRPr="0080445D" w:rsidRDefault="0080445D" w:rsidP="00863AD4">
      <w:pPr>
        <w:spacing w:line="360" w:lineRule="auto"/>
        <w:jc w:val="both"/>
      </w:pPr>
      <w:r w:rsidRPr="0080445D">
        <w:t>Il faut un identifiant et un mot de passe pour y accéder, donc la création d’un compte utilisateur est nécessaire pour consulter les résultats des enquêtes.</w:t>
      </w:r>
    </w:p>
    <w:p w14:paraId="10C6CDD7" w14:textId="72733FF1" w:rsidR="0080445D" w:rsidRPr="0080445D" w:rsidRDefault="0080445D" w:rsidP="004B1A2D">
      <w:pPr>
        <w:spacing w:line="360" w:lineRule="auto"/>
        <w:jc w:val="center"/>
        <w:rPr>
          <w:b/>
          <w:bCs/>
        </w:rPr>
      </w:pPr>
      <w:r w:rsidRPr="0080445D">
        <w:rPr>
          <w:b/>
          <w:bCs/>
          <w:noProof/>
        </w:rPr>
        <w:drawing>
          <wp:inline distT="0" distB="0" distL="0" distR="0" wp14:anchorId="0C3BFD7B" wp14:editId="463A2981">
            <wp:extent cx="5889395" cy="2340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5" cstate="print">
                      <a:extLst>
                        <a:ext uri="{28A0092B-C50C-407E-A947-70E740481C1C}">
                          <a14:useLocalDpi xmlns:a14="http://schemas.microsoft.com/office/drawing/2010/main" val="0"/>
                        </a:ext>
                      </a:extLst>
                    </a:blip>
                    <a:srcRect t="9398" r="1125" b="11978"/>
                    <a:stretch/>
                  </pic:blipFill>
                  <pic:spPr bwMode="auto">
                    <a:xfrm>
                      <a:off x="0" y="0"/>
                      <a:ext cx="5889395" cy="2340000"/>
                    </a:xfrm>
                    <a:prstGeom prst="rect">
                      <a:avLst/>
                    </a:prstGeom>
                    <a:ln>
                      <a:noFill/>
                    </a:ln>
                    <a:extLst>
                      <a:ext uri="{53640926-AAD7-44D8-BBD7-CCE9431645EC}">
                        <a14:shadowObscured xmlns:a14="http://schemas.microsoft.com/office/drawing/2010/main"/>
                      </a:ext>
                    </a:extLst>
                  </pic:spPr>
                </pic:pic>
              </a:graphicData>
            </a:graphic>
          </wp:inline>
        </w:drawing>
      </w:r>
    </w:p>
    <w:p w14:paraId="458041D0" w14:textId="7FA041A0" w:rsidR="00ED5D1B" w:rsidRDefault="0080445D" w:rsidP="004B1A2D">
      <w:pPr>
        <w:spacing w:line="360" w:lineRule="auto"/>
        <w:jc w:val="center"/>
        <w:rPr>
          <w:i/>
          <w:iCs/>
        </w:rPr>
      </w:pPr>
      <w:r w:rsidRPr="0080445D">
        <w:rPr>
          <w:i/>
          <w:iCs/>
        </w:rPr>
        <w:t xml:space="preserve">Capture </w:t>
      </w:r>
      <w:r w:rsidRPr="0080445D">
        <w:rPr>
          <w:i/>
          <w:iCs/>
        </w:rPr>
        <w:fldChar w:fldCharType="begin"/>
      </w:r>
      <w:r w:rsidRPr="0080445D">
        <w:rPr>
          <w:i/>
          <w:iCs/>
        </w:rPr>
        <w:instrText xml:space="preserve"> SEQ Capture \* ARABIC </w:instrText>
      </w:r>
      <w:r w:rsidRPr="0080445D">
        <w:rPr>
          <w:i/>
          <w:iCs/>
        </w:rPr>
        <w:fldChar w:fldCharType="separate"/>
      </w:r>
      <w:r w:rsidR="004B1A2D">
        <w:rPr>
          <w:i/>
          <w:iCs/>
          <w:noProof/>
        </w:rPr>
        <w:t>7</w:t>
      </w:r>
      <w:r w:rsidRPr="0080445D">
        <w:fldChar w:fldCharType="end"/>
      </w:r>
      <w:r w:rsidRPr="0080445D">
        <w:rPr>
          <w:i/>
          <w:iCs/>
        </w:rPr>
        <w:t xml:space="preserve"> : Aperçu des résultats sur l’application web</w:t>
      </w:r>
      <w:r w:rsidR="00ED5D1B">
        <w:rPr>
          <w:i/>
          <w:iCs/>
        </w:rPr>
        <w:br w:type="page"/>
      </w:r>
    </w:p>
    <w:p w14:paraId="1A415B3A" w14:textId="71B5F78F" w:rsidR="00ED5D1B" w:rsidRPr="00ED5D1B" w:rsidRDefault="00ED5D1B" w:rsidP="00ED5D1B">
      <w:pPr>
        <w:spacing w:line="360" w:lineRule="auto"/>
        <w:ind w:left="99" w:hanging="142"/>
        <w:contextualSpacing/>
        <w:rPr>
          <w:b/>
          <w:bCs/>
          <w:sz w:val="28"/>
          <w:szCs w:val="28"/>
        </w:rPr>
      </w:pPr>
      <w:r w:rsidRPr="00ED5D1B">
        <w:rPr>
          <w:b/>
          <w:bCs/>
          <w:sz w:val="28"/>
          <w:szCs w:val="28"/>
        </w:rPr>
        <w:lastRenderedPageBreak/>
        <w:t>Annexe</w:t>
      </w:r>
      <w:r>
        <w:rPr>
          <w:b/>
          <w:bCs/>
          <w:sz w:val="28"/>
          <w:szCs w:val="28"/>
        </w:rPr>
        <w:t xml:space="preserve"> </w:t>
      </w:r>
      <w:r w:rsidRPr="00ED5D1B">
        <w:rPr>
          <w:b/>
          <w:bCs/>
          <w:sz w:val="28"/>
          <w:szCs w:val="28"/>
        </w:rPr>
        <w:t>4 : Unité de chaque énergie de cuisson et conversion</w:t>
      </w:r>
    </w:p>
    <w:p w14:paraId="58557E09" w14:textId="77777777" w:rsidR="00ED5D1B" w:rsidRDefault="00ED5D1B" w:rsidP="00ED5D1B">
      <w:pPr>
        <w:spacing w:line="360" w:lineRule="auto"/>
      </w:pPr>
      <w:r>
        <w:t xml:space="preserve">Les conversions sont issues du schéma provenant de la Capitalisation des secteurs biogaz et foyers améliorés à Madagascar par </w:t>
      </w:r>
      <w:r w:rsidRPr="00B96C16">
        <w:t>Maud Ferrer</w:t>
      </w:r>
      <w:r>
        <w:t xml:space="preserve"> en mai 2018, p 18. La moyenne des valeurs a été prise comme référence, tout en sachant que : </w:t>
      </w:r>
      <w:r w:rsidRPr="00B96C16">
        <w:t>1kwh = 3600kJ</w:t>
      </w:r>
      <w:r>
        <w:t>.</w:t>
      </w:r>
    </w:p>
    <w:p w14:paraId="62D1016C" w14:textId="77777777" w:rsidR="00ED5D1B" w:rsidRDefault="00ED5D1B" w:rsidP="00ED5D1B">
      <w:pPr>
        <w:spacing w:line="360" w:lineRule="auto"/>
        <w:rPr>
          <w:noProof/>
          <w:lang w:eastAsia="fr-FR"/>
        </w:rPr>
      </w:pPr>
    </w:p>
    <w:p w14:paraId="07308A7E" w14:textId="77777777" w:rsidR="00ED5D1B" w:rsidRDefault="00ED5D1B" w:rsidP="00ED5D1B">
      <w:pPr>
        <w:keepNext/>
        <w:spacing w:line="360" w:lineRule="auto"/>
        <w:jc w:val="center"/>
      </w:pPr>
      <w:r>
        <w:rPr>
          <w:noProof/>
          <w:lang w:eastAsia="fr-FR"/>
        </w:rPr>
        <w:drawing>
          <wp:inline distT="0" distB="0" distL="0" distR="0" wp14:anchorId="5715207E" wp14:editId="608C61D4">
            <wp:extent cx="2675079" cy="2415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6119"/>
                    <a:stretch/>
                  </pic:blipFill>
                  <pic:spPr bwMode="auto">
                    <a:xfrm>
                      <a:off x="0" y="0"/>
                      <a:ext cx="2675334" cy="2415771"/>
                    </a:xfrm>
                    <a:prstGeom prst="rect">
                      <a:avLst/>
                    </a:prstGeom>
                    <a:noFill/>
                    <a:ln>
                      <a:noFill/>
                    </a:ln>
                    <a:extLst>
                      <a:ext uri="{53640926-AAD7-44D8-BBD7-CCE9431645EC}">
                        <a14:shadowObscured xmlns:a14="http://schemas.microsoft.com/office/drawing/2010/main"/>
                      </a:ext>
                    </a:extLst>
                  </pic:spPr>
                </pic:pic>
              </a:graphicData>
            </a:graphic>
          </wp:inline>
        </w:drawing>
      </w:r>
    </w:p>
    <w:p w14:paraId="6C3DB9B8" w14:textId="180DDEAE" w:rsidR="00ED5D1B" w:rsidRPr="00B96C16" w:rsidRDefault="00ED5D1B" w:rsidP="00ED5D1B">
      <w:pPr>
        <w:pStyle w:val="Lgende"/>
        <w:spacing w:line="360" w:lineRule="auto"/>
        <w:jc w:val="center"/>
        <w:rPr>
          <w:noProof/>
        </w:rPr>
      </w:pPr>
      <w:r>
        <w:t xml:space="preserve">Figure </w:t>
      </w:r>
      <w:fldSimple w:instr=" SEQ Figure \* ARABIC ">
        <w:r w:rsidR="00DB0B2E">
          <w:rPr>
            <w:noProof/>
          </w:rPr>
          <w:t>3</w:t>
        </w:r>
      </w:fldSimple>
      <w:r>
        <w:rPr>
          <w:noProof/>
        </w:rPr>
        <w:t xml:space="preserve"> : Equivalent énergétique d'un m</w:t>
      </w:r>
      <w:r w:rsidRPr="00B96C16">
        <w:rPr>
          <w:noProof/>
          <w:vertAlign w:val="superscript"/>
        </w:rPr>
        <w:t>3</w:t>
      </w:r>
      <w:r>
        <w:rPr>
          <w:noProof/>
        </w:rPr>
        <w:t xml:space="preserve"> de biogaz</w:t>
      </w:r>
    </w:p>
    <w:p w14:paraId="170ABFA8" w14:textId="77777777" w:rsidR="00ED5D1B" w:rsidRDefault="00ED5D1B" w:rsidP="00ED5D1B">
      <w:pPr>
        <w:pStyle w:val="Lgende"/>
        <w:keepNext/>
        <w:spacing w:line="360" w:lineRule="auto"/>
      </w:pPr>
      <w:r>
        <w:t xml:space="preserve">Tableau </w:t>
      </w:r>
      <w:fldSimple w:instr=" SEQ Tableau \* ARABIC ">
        <w:r>
          <w:rPr>
            <w:noProof/>
          </w:rPr>
          <w:t>1</w:t>
        </w:r>
      </w:fldSimple>
      <w:r>
        <w:rPr>
          <w:noProof/>
        </w:rPr>
        <w:t xml:space="preserve"> : Tableau des équivalences énergétiques</w:t>
      </w:r>
    </w:p>
    <w:tbl>
      <w:tblPr>
        <w:tblStyle w:val="Grilledutableau"/>
        <w:tblW w:w="5000" w:type="pct"/>
        <w:tblLook w:val="04A0" w:firstRow="1" w:lastRow="0" w:firstColumn="1" w:lastColumn="0" w:noHBand="0" w:noVBand="1"/>
      </w:tblPr>
      <w:tblGrid>
        <w:gridCol w:w="3728"/>
        <w:gridCol w:w="1118"/>
        <w:gridCol w:w="2242"/>
        <w:gridCol w:w="1974"/>
      </w:tblGrid>
      <w:tr w:rsidR="00ED5D1B" w:rsidRPr="007958F2" w14:paraId="7B4B89F5" w14:textId="77777777" w:rsidTr="00657724">
        <w:tc>
          <w:tcPr>
            <w:tcW w:w="2057" w:type="pct"/>
          </w:tcPr>
          <w:p w14:paraId="12675498" w14:textId="77777777" w:rsidR="00ED5D1B" w:rsidRPr="007958F2" w:rsidRDefault="00ED5D1B" w:rsidP="00657724">
            <w:pPr>
              <w:spacing w:line="360" w:lineRule="auto"/>
              <w:jc w:val="center"/>
              <w:rPr>
                <w:b/>
                <w:bCs/>
              </w:rPr>
            </w:pPr>
            <w:r w:rsidRPr="007958F2">
              <w:rPr>
                <w:b/>
                <w:bCs/>
              </w:rPr>
              <w:t>Unité</w:t>
            </w:r>
          </w:p>
        </w:tc>
        <w:tc>
          <w:tcPr>
            <w:tcW w:w="617" w:type="pct"/>
          </w:tcPr>
          <w:p w14:paraId="2125066A" w14:textId="77777777" w:rsidR="00ED5D1B" w:rsidRPr="007958F2" w:rsidRDefault="00ED5D1B" w:rsidP="00657724">
            <w:pPr>
              <w:spacing w:line="360" w:lineRule="auto"/>
              <w:jc w:val="center"/>
              <w:rPr>
                <w:b/>
                <w:bCs/>
              </w:rPr>
            </w:pPr>
            <w:r w:rsidRPr="007958F2">
              <w:rPr>
                <w:b/>
                <w:bCs/>
              </w:rPr>
              <w:t>Quantité</w:t>
            </w:r>
          </w:p>
        </w:tc>
        <w:tc>
          <w:tcPr>
            <w:tcW w:w="1237" w:type="pct"/>
          </w:tcPr>
          <w:p w14:paraId="2473D704" w14:textId="77777777" w:rsidR="00ED5D1B" w:rsidRPr="007958F2" w:rsidRDefault="00ED5D1B" w:rsidP="00657724">
            <w:pPr>
              <w:spacing w:line="360" w:lineRule="auto"/>
              <w:jc w:val="center"/>
              <w:rPr>
                <w:b/>
                <w:bCs/>
              </w:rPr>
            </w:pPr>
            <w:r w:rsidRPr="007958F2">
              <w:rPr>
                <w:b/>
                <w:bCs/>
              </w:rPr>
              <w:t>Equivalence en kWh</w:t>
            </w:r>
          </w:p>
        </w:tc>
        <w:tc>
          <w:tcPr>
            <w:tcW w:w="1089" w:type="pct"/>
          </w:tcPr>
          <w:p w14:paraId="0B0C8B60" w14:textId="77777777" w:rsidR="00ED5D1B" w:rsidRPr="007958F2" w:rsidRDefault="00ED5D1B" w:rsidP="00657724">
            <w:pPr>
              <w:spacing w:line="360" w:lineRule="auto"/>
              <w:jc w:val="center"/>
              <w:rPr>
                <w:b/>
                <w:bCs/>
              </w:rPr>
            </w:pPr>
            <w:r w:rsidRPr="007958F2">
              <w:rPr>
                <w:b/>
                <w:bCs/>
              </w:rPr>
              <w:t>Equivalence en kJ</w:t>
            </w:r>
          </w:p>
        </w:tc>
      </w:tr>
      <w:tr w:rsidR="00ED5D1B" w:rsidRPr="00B96C16" w14:paraId="6B1037F3" w14:textId="77777777" w:rsidTr="00657724">
        <w:tc>
          <w:tcPr>
            <w:tcW w:w="2057" w:type="pct"/>
          </w:tcPr>
          <w:p w14:paraId="1BF88307" w14:textId="77777777" w:rsidR="00ED5D1B" w:rsidRPr="00B96C16" w:rsidRDefault="00ED5D1B" w:rsidP="00657724">
            <w:pPr>
              <w:spacing w:line="360" w:lineRule="auto"/>
            </w:pPr>
            <w:bookmarkStart w:id="47" w:name="_Hlk72768498"/>
            <w:r w:rsidRPr="003C022A">
              <w:t>Bois de chauffe (kg)</w:t>
            </w:r>
          </w:p>
        </w:tc>
        <w:tc>
          <w:tcPr>
            <w:tcW w:w="617" w:type="pct"/>
          </w:tcPr>
          <w:p w14:paraId="27C7634F" w14:textId="77777777" w:rsidR="00ED5D1B" w:rsidRPr="00B96C16" w:rsidRDefault="00ED5D1B" w:rsidP="00657724">
            <w:pPr>
              <w:spacing w:line="360" w:lineRule="auto"/>
              <w:jc w:val="center"/>
            </w:pPr>
            <w:r w:rsidRPr="003C022A">
              <w:t>1</w:t>
            </w:r>
          </w:p>
        </w:tc>
        <w:tc>
          <w:tcPr>
            <w:tcW w:w="1237" w:type="pct"/>
          </w:tcPr>
          <w:p w14:paraId="27399748" w14:textId="77777777" w:rsidR="00ED5D1B" w:rsidRPr="00B96C16" w:rsidRDefault="00ED5D1B" w:rsidP="00657724">
            <w:pPr>
              <w:spacing w:line="360" w:lineRule="auto"/>
              <w:jc w:val="center"/>
            </w:pPr>
            <w:r w:rsidRPr="003C022A">
              <w:t>3,5</w:t>
            </w:r>
          </w:p>
        </w:tc>
        <w:tc>
          <w:tcPr>
            <w:tcW w:w="1089" w:type="pct"/>
          </w:tcPr>
          <w:p w14:paraId="676D66DE" w14:textId="77777777" w:rsidR="00ED5D1B" w:rsidRPr="00B96C16" w:rsidRDefault="00ED5D1B" w:rsidP="00657724">
            <w:pPr>
              <w:spacing w:line="360" w:lineRule="auto"/>
              <w:jc w:val="center"/>
            </w:pPr>
            <w:r w:rsidRPr="003C022A">
              <w:t>12 600</w:t>
            </w:r>
          </w:p>
        </w:tc>
      </w:tr>
      <w:bookmarkEnd w:id="47"/>
      <w:tr w:rsidR="00ED5D1B" w:rsidRPr="00B96C16" w14:paraId="1E613D9E" w14:textId="77777777" w:rsidTr="00657724">
        <w:tc>
          <w:tcPr>
            <w:tcW w:w="2057" w:type="pct"/>
          </w:tcPr>
          <w:p w14:paraId="683F554B" w14:textId="77777777" w:rsidR="00ED5D1B" w:rsidRPr="00B96C16" w:rsidRDefault="00ED5D1B" w:rsidP="00657724">
            <w:pPr>
              <w:spacing w:line="360" w:lineRule="auto"/>
            </w:pPr>
            <w:r w:rsidRPr="003C022A">
              <w:t>Charbon de bois (kg)</w:t>
            </w:r>
          </w:p>
        </w:tc>
        <w:tc>
          <w:tcPr>
            <w:tcW w:w="617" w:type="pct"/>
          </w:tcPr>
          <w:p w14:paraId="60B80D5D" w14:textId="77777777" w:rsidR="00ED5D1B" w:rsidRPr="00B96C16" w:rsidRDefault="00ED5D1B" w:rsidP="00657724">
            <w:pPr>
              <w:spacing w:line="360" w:lineRule="auto"/>
              <w:jc w:val="center"/>
            </w:pPr>
            <w:r w:rsidRPr="003C022A">
              <w:t>1,1</w:t>
            </w:r>
          </w:p>
        </w:tc>
        <w:tc>
          <w:tcPr>
            <w:tcW w:w="1237" w:type="pct"/>
          </w:tcPr>
          <w:p w14:paraId="0FE590F0" w14:textId="77777777" w:rsidR="00ED5D1B" w:rsidRPr="00B96C16" w:rsidRDefault="00ED5D1B" w:rsidP="00657724">
            <w:pPr>
              <w:spacing w:line="360" w:lineRule="auto"/>
              <w:jc w:val="center"/>
            </w:pPr>
            <w:r w:rsidRPr="003C022A">
              <w:t>7</w:t>
            </w:r>
          </w:p>
        </w:tc>
        <w:tc>
          <w:tcPr>
            <w:tcW w:w="1089" w:type="pct"/>
          </w:tcPr>
          <w:p w14:paraId="74F60D18" w14:textId="77777777" w:rsidR="00ED5D1B" w:rsidRPr="00B96C16" w:rsidRDefault="00ED5D1B" w:rsidP="00657724">
            <w:pPr>
              <w:spacing w:line="360" w:lineRule="auto"/>
              <w:jc w:val="center"/>
            </w:pPr>
            <w:r w:rsidRPr="003C022A">
              <w:t>25 200</w:t>
            </w:r>
          </w:p>
        </w:tc>
      </w:tr>
      <w:tr w:rsidR="00ED5D1B" w:rsidRPr="00B96C16" w14:paraId="6BC548D7" w14:textId="77777777" w:rsidTr="00657724">
        <w:tc>
          <w:tcPr>
            <w:tcW w:w="2057" w:type="pct"/>
          </w:tcPr>
          <w:p w14:paraId="13859F75" w14:textId="77777777" w:rsidR="00ED5D1B" w:rsidRPr="00B96C16" w:rsidRDefault="00ED5D1B" w:rsidP="00657724">
            <w:pPr>
              <w:spacing w:line="360" w:lineRule="auto"/>
            </w:pPr>
            <w:r w:rsidRPr="003C022A">
              <w:t>Biogaz (m3)</w:t>
            </w:r>
          </w:p>
        </w:tc>
        <w:tc>
          <w:tcPr>
            <w:tcW w:w="617" w:type="pct"/>
          </w:tcPr>
          <w:p w14:paraId="084302CE" w14:textId="77777777" w:rsidR="00ED5D1B" w:rsidRPr="00B96C16" w:rsidRDefault="00ED5D1B" w:rsidP="00657724">
            <w:pPr>
              <w:spacing w:line="360" w:lineRule="auto"/>
              <w:jc w:val="center"/>
            </w:pPr>
            <w:r w:rsidRPr="003C022A">
              <w:t>1</w:t>
            </w:r>
          </w:p>
        </w:tc>
        <w:tc>
          <w:tcPr>
            <w:tcW w:w="1237" w:type="pct"/>
          </w:tcPr>
          <w:p w14:paraId="0DCF4E43" w14:textId="77777777" w:rsidR="00ED5D1B" w:rsidRPr="00B96C16" w:rsidRDefault="00ED5D1B" w:rsidP="00657724">
            <w:pPr>
              <w:spacing w:line="360" w:lineRule="auto"/>
              <w:jc w:val="center"/>
            </w:pPr>
            <w:r w:rsidRPr="003C022A">
              <w:t>7</w:t>
            </w:r>
          </w:p>
        </w:tc>
        <w:tc>
          <w:tcPr>
            <w:tcW w:w="1089" w:type="pct"/>
          </w:tcPr>
          <w:p w14:paraId="64FA275F" w14:textId="77777777" w:rsidR="00ED5D1B" w:rsidRPr="00B96C16" w:rsidRDefault="00ED5D1B" w:rsidP="00657724">
            <w:pPr>
              <w:spacing w:line="360" w:lineRule="auto"/>
              <w:jc w:val="center"/>
            </w:pPr>
            <w:r w:rsidRPr="003C022A">
              <w:t>25 200</w:t>
            </w:r>
          </w:p>
        </w:tc>
      </w:tr>
      <w:tr w:rsidR="00ED5D1B" w:rsidRPr="00B96C16" w14:paraId="12AE5074" w14:textId="77777777" w:rsidTr="00657724">
        <w:tc>
          <w:tcPr>
            <w:tcW w:w="2057" w:type="pct"/>
          </w:tcPr>
          <w:p w14:paraId="0A885E70" w14:textId="77777777" w:rsidR="00ED5D1B" w:rsidRPr="00B96C16" w:rsidRDefault="00ED5D1B" w:rsidP="00657724">
            <w:pPr>
              <w:spacing w:line="360" w:lineRule="auto"/>
            </w:pPr>
            <w:r w:rsidRPr="003C022A">
              <w:t>Bioéthanol</w:t>
            </w:r>
            <w:r>
              <w:rPr>
                <w:rStyle w:val="Appelnotedebasdep"/>
              </w:rPr>
              <w:footnoteReference w:id="11"/>
            </w:r>
            <w:r w:rsidRPr="003C022A">
              <w:t xml:space="preserve"> (l)</w:t>
            </w:r>
          </w:p>
        </w:tc>
        <w:tc>
          <w:tcPr>
            <w:tcW w:w="617" w:type="pct"/>
          </w:tcPr>
          <w:p w14:paraId="2C9BABC1" w14:textId="77777777" w:rsidR="00ED5D1B" w:rsidRPr="00B96C16" w:rsidRDefault="00ED5D1B" w:rsidP="00657724">
            <w:pPr>
              <w:spacing w:line="360" w:lineRule="auto"/>
              <w:jc w:val="center"/>
            </w:pPr>
            <w:r w:rsidRPr="003C022A">
              <w:t>1</w:t>
            </w:r>
          </w:p>
        </w:tc>
        <w:tc>
          <w:tcPr>
            <w:tcW w:w="1237" w:type="pct"/>
          </w:tcPr>
          <w:p w14:paraId="6B18E660" w14:textId="77777777" w:rsidR="00ED5D1B" w:rsidRPr="00B96C16" w:rsidRDefault="00ED5D1B" w:rsidP="00657724">
            <w:pPr>
              <w:spacing w:line="360" w:lineRule="auto"/>
              <w:jc w:val="center"/>
            </w:pPr>
            <w:r w:rsidRPr="003C022A">
              <w:t>7</w:t>
            </w:r>
          </w:p>
        </w:tc>
        <w:tc>
          <w:tcPr>
            <w:tcW w:w="1089" w:type="pct"/>
          </w:tcPr>
          <w:p w14:paraId="354AD3DB" w14:textId="77777777" w:rsidR="00ED5D1B" w:rsidRPr="00B96C16" w:rsidRDefault="00ED5D1B" w:rsidP="00657724">
            <w:pPr>
              <w:spacing w:line="360" w:lineRule="auto"/>
              <w:jc w:val="center"/>
            </w:pPr>
            <w:r w:rsidRPr="003C022A">
              <w:t>25 200</w:t>
            </w:r>
          </w:p>
        </w:tc>
      </w:tr>
      <w:tr w:rsidR="00ED5D1B" w:rsidRPr="00B96C16" w14:paraId="3A38199C" w14:textId="77777777" w:rsidTr="00657724">
        <w:tc>
          <w:tcPr>
            <w:tcW w:w="2057" w:type="pct"/>
          </w:tcPr>
          <w:p w14:paraId="44512817" w14:textId="77777777" w:rsidR="00ED5D1B" w:rsidRPr="00B96C16" w:rsidRDefault="00ED5D1B" w:rsidP="00657724">
            <w:pPr>
              <w:spacing w:line="360" w:lineRule="auto"/>
            </w:pPr>
            <w:r w:rsidRPr="003C022A">
              <w:t>Gaz</w:t>
            </w:r>
            <w:r>
              <w:rPr>
                <w:rStyle w:val="Appelnotedebasdep"/>
              </w:rPr>
              <w:footnoteReference w:id="12"/>
            </w:r>
            <w:r w:rsidRPr="003C022A">
              <w:t xml:space="preserve"> (kg)</w:t>
            </w:r>
          </w:p>
        </w:tc>
        <w:tc>
          <w:tcPr>
            <w:tcW w:w="617" w:type="pct"/>
          </w:tcPr>
          <w:p w14:paraId="787BCBCD" w14:textId="77777777" w:rsidR="00ED5D1B" w:rsidRPr="00B96C16" w:rsidRDefault="00ED5D1B" w:rsidP="00657724">
            <w:pPr>
              <w:spacing w:line="360" w:lineRule="auto"/>
              <w:jc w:val="center"/>
            </w:pPr>
            <w:r w:rsidRPr="003C022A">
              <w:t>1</w:t>
            </w:r>
          </w:p>
        </w:tc>
        <w:tc>
          <w:tcPr>
            <w:tcW w:w="1237" w:type="pct"/>
          </w:tcPr>
          <w:p w14:paraId="40466252" w14:textId="77777777" w:rsidR="00ED5D1B" w:rsidRPr="00B96C16" w:rsidRDefault="00ED5D1B" w:rsidP="00657724">
            <w:pPr>
              <w:spacing w:line="360" w:lineRule="auto"/>
              <w:jc w:val="center"/>
            </w:pPr>
            <w:r w:rsidRPr="003C022A">
              <w:t>13,225</w:t>
            </w:r>
          </w:p>
        </w:tc>
        <w:tc>
          <w:tcPr>
            <w:tcW w:w="1089" w:type="pct"/>
          </w:tcPr>
          <w:p w14:paraId="6736BE86" w14:textId="77777777" w:rsidR="00ED5D1B" w:rsidRPr="00B96C16" w:rsidRDefault="00ED5D1B" w:rsidP="00657724">
            <w:pPr>
              <w:spacing w:line="360" w:lineRule="auto"/>
              <w:jc w:val="center"/>
            </w:pPr>
            <w:r w:rsidRPr="003C022A">
              <w:t>47 610</w:t>
            </w:r>
          </w:p>
        </w:tc>
      </w:tr>
      <w:tr w:rsidR="00ED5D1B" w:rsidRPr="00B96C16" w14:paraId="4FDC5ED2" w14:textId="77777777" w:rsidTr="00657724">
        <w:tc>
          <w:tcPr>
            <w:tcW w:w="2057" w:type="pct"/>
          </w:tcPr>
          <w:p w14:paraId="153B43FA" w14:textId="77777777" w:rsidR="00ED5D1B" w:rsidRPr="00B96C16" w:rsidRDefault="00ED5D1B" w:rsidP="00657724">
            <w:pPr>
              <w:spacing w:line="360" w:lineRule="auto"/>
            </w:pPr>
            <w:r w:rsidRPr="003C022A">
              <w:t>Briquette/charbon vert (kg)</w:t>
            </w:r>
          </w:p>
        </w:tc>
        <w:tc>
          <w:tcPr>
            <w:tcW w:w="617" w:type="pct"/>
          </w:tcPr>
          <w:p w14:paraId="1DAB7A2E" w14:textId="77777777" w:rsidR="00ED5D1B" w:rsidRPr="00B96C16" w:rsidRDefault="00ED5D1B" w:rsidP="00657724">
            <w:pPr>
              <w:spacing w:line="360" w:lineRule="auto"/>
              <w:jc w:val="center"/>
            </w:pPr>
            <w:r w:rsidRPr="003C022A">
              <w:t>1</w:t>
            </w:r>
          </w:p>
        </w:tc>
        <w:tc>
          <w:tcPr>
            <w:tcW w:w="1237" w:type="pct"/>
          </w:tcPr>
          <w:p w14:paraId="567AFE91" w14:textId="77777777" w:rsidR="00ED5D1B" w:rsidRPr="00B96C16" w:rsidRDefault="00ED5D1B" w:rsidP="00657724">
            <w:pPr>
              <w:spacing w:line="360" w:lineRule="auto"/>
              <w:jc w:val="center"/>
            </w:pPr>
            <w:r w:rsidRPr="003C022A">
              <w:t>4,853</w:t>
            </w:r>
          </w:p>
        </w:tc>
        <w:tc>
          <w:tcPr>
            <w:tcW w:w="1089" w:type="pct"/>
          </w:tcPr>
          <w:p w14:paraId="4784E1EF" w14:textId="77777777" w:rsidR="00ED5D1B" w:rsidRPr="00B96C16" w:rsidRDefault="00ED5D1B" w:rsidP="00657724">
            <w:pPr>
              <w:spacing w:line="360" w:lineRule="auto"/>
              <w:jc w:val="center"/>
            </w:pPr>
            <w:r w:rsidRPr="003C022A">
              <w:t>17 471</w:t>
            </w:r>
          </w:p>
        </w:tc>
      </w:tr>
      <w:tr w:rsidR="00ED5D1B" w:rsidRPr="00B96C16" w14:paraId="68F1EE80" w14:textId="77777777" w:rsidTr="00657724">
        <w:tc>
          <w:tcPr>
            <w:tcW w:w="2057" w:type="pct"/>
          </w:tcPr>
          <w:p w14:paraId="542E85B0" w14:textId="77777777" w:rsidR="00ED5D1B" w:rsidRPr="00B96C16" w:rsidRDefault="00ED5D1B" w:rsidP="00657724">
            <w:pPr>
              <w:spacing w:line="360" w:lineRule="auto"/>
            </w:pPr>
            <w:r w:rsidRPr="003C022A">
              <w:t>Résidus agricoles/sous-produits (kg)</w:t>
            </w:r>
          </w:p>
        </w:tc>
        <w:tc>
          <w:tcPr>
            <w:tcW w:w="617" w:type="pct"/>
          </w:tcPr>
          <w:p w14:paraId="17CBA441" w14:textId="77777777" w:rsidR="00ED5D1B" w:rsidRPr="00B96C16" w:rsidRDefault="00ED5D1B" w:rsidP="00657724">
            <w:pPr>
              <w:spacing w:line="360" w:lineRule="auto"/>
              <w:jc w:val="center"/>
            </w:pPr>
            <w:r w:rsidRPr="003C022A">
              <w:t>1</w:t>
            </w:r>
          </w:p>
        </w:tc>
        <w:tc>
          <w:tcPr>
            <w:tcW w:w="1237" w:type="pct"/>
          </w:tcPr>
          <w:p w14:paraId="7A6919FE" w14:textId="77777777" w:rsidR="00ED5D1B" w:rsidRPr="00B96C16" w:rsidRDefault="00ED5D1B" w:rsidP="00657724">
            <w:pPr>
              <w:spacing w:line="360" w:lineRule="auto"/>
              <w:jc w:val="center"/>
            </w:pPr>
            <w:r w:rsidRPr="003C022A">
              <w:t>3,5</w:t>
            </w:r>
          </w:p>
        </w:tc>
        <w:tc>
          <w:tcPr>
            <w:tcW w:w="1089" w:type="pct"/>
          </w:tcPr>
          <w:p w14:paraId="2D1710F2" w14:textId="77777777" w:rsidR="00ED5D1B" w:rsidRPr="00B96C16" w:rsidRDefault="00ED5D1B" w:rsidP="00657724">
            <w:pPr>
              <w:spacing w:line="360" w:lineRule="auto"/>
              <w:jc w:val="center"/>
            </w:pPr>
            <w:r w:rsidRPr="003C022A">
              <w:t>12 600</w:t>
            </w:r>
          </w:p>
        </w:tc>
      </w:tr>
      <w:tr w:rsidR="00ED5D1B" w:rsidRPr="00B96C16" w14:paraId="1E1B69BF" w14:textId="77777777" w:rsidTr="00657724">
        <w:tc>
          <w:tcPr>
            <w:tcW w:w="2057" w:type="pct"/>
          </w:tcPr>
          <w:p w14:paraId="2457957E" w14:textId="77777777" w:rsidR="00ED5D1B" w:rsidRPr="00CD3009" w:rsidRDefault="00ED5D1B" w:rsidP="00657724">
            <w:pPr>
              <w:spacing w:line="360" w:lineRule="auto"/>
            </w:pPr>
            <w:r w:rsidRPr="003C022A">
              <w:t>Electricité (kWh)</w:t>
            </w:r>
          </w:p>
        </w:tc>
        <w:tc>
          <w:tcPr>
            <w:tcW w:w="617" w:type="pct"/>
          </w:tcPr>
          <w:p w14:paraId="4F0ED951" w14:textId="77777777" w:rsidR="00ED5D1B" w:rsidRPr="00B96C16" w:rsidRDefault="00ED5D1B" w:rsidP="00657724">
            <w:pPr>
              <w:spacing w:line="360" w:lineRule="auto"/>
              <w:jc w:val="center"/>
            </w:pPr>
            <w:r w:rsidRPr="003C022A">
              <w:t>1</w:t>
            </w:r>
          </w:p>
        </w:tc>
        <w:tc>
          <w:tcPr>
            <w:tcW w:w="1237" w:type="pct"/>
          </w:tcPr>
          <w:p w14:paraId="07B3CA67" w14:textId="77777777" w:rsidR="00ED5D1B" w:rsidRPr="00B96C16" w:rsidRDefault="00ED5D1B" w:rsidP="00657724">
            <w:pPr>
              <w:spacing w:line="360" w:lineRule="auto"/>
              <w:jc w:val="center"/>
            </w:pPr>
            <w:r w:rsidRPr="003C022A">
              <w:t>1</w:t>
            </w:r>
          </w:p>
        </w:tc>
        <w:tc>
          <w:tcPr>
            <w:tcW w:w="1089" w:type="pct"/>
          </w:tcPr>
          <w:p w14:paraId="176879F5" w14:textId="77777777" w:rsidR="00ED5D1B" w:rsidRPr="00B96C16" w:rsidRDefault="00ED5D1B" w:rsidP="00657724">
            <w:pPr>
              <w:spacing w:line="360" w:lineRule="auto"/>
              <w:jc w:val="center"/>
            </w:pPr>
            <w:r w:rsidRPr="003C022A">
              <w:t>3 600</w:t>
            </w:r>
          </w:p>
        </w:tc>
      </w:tr>
      <w:tr w:rsidR="00ED5D1B" w:rsidRPr="00B96C16" w14:paraId="36257C0F" w14:textId="77777777" w:rsidTr="00657724">
        <w:tc>
          <w:tcPr>
            <w:tcW w:w="2057" w:type="pct"/>
          </w:tcPr>
          <w:p w14:paraId="1CB491A4" w14:textId="77777777" w:rsidR="00ED5D1B" w:rsidRPr="00CD3009" w:rsidRDefault="00ED5D1B" w:rsidP="00657724">
            <w:pPr>
              <w:spacing w:line="360" w:lineRule="auto"/>
            </w:pPr>
            <w:r w:rsidRPr="003C022A">
              <w:t>Pétrole (l)</w:t>
            </w:r>
          </w:p>
        </w:tc>
        <w:tc>
          <w:tcPr>
            <w:tcW w:w="617" w:type="pct"/>
          </w:tcPr>
          <w:p w14:paraId="5643FE78" w14:textId="77777777" w:rsidR="00ED5D1B" w:rsidRPr="00B96C16" w:rsidRDefault="00ED5D1B" w:rsidP="00657724">
            <w:pPr>
              <w:spacing w:line="360" w:lineRule="auto"/>
              <w:jc w:val="center"/>
            </w:pPr>
            <w:r w:rsidRPr="003C022A">
              <w:t>1</w:t>
            </w:r>
          </w:p>
        </w:tc>
        <w:tc>
          <w:tcPr>
            <w:tcW w:w="1237" w:type="pct"/>
          </w:tcPr>
          <w:p w14:paraId="09861CC9" w14:textId="77777777" w:rsidR="00ED5D1B" w:rsidRPr="00B96C16" w:rsidRDefault="00ED5D1B" w:rsidP="00657724">
            <w:pPr>
              <w:spacing w:line="360" w:lineRule="auto"/>
              <w:jc w:val="center"/>
            </w:pPr>
            <w:r w:rsidRPr="003C022A">
              <w:t>10</w:t>
            </w:r>
          </w:p>
        </w:tc>
        <w:tc>
          <w:tcPr>
            <w:tcW w:w="1089" w:type="pct"/>
          </w:tcPr>
          <w:p w14:paraId="790B00AA" w14:textId="77777777" w:rsidR="00ED5D1B" w:rsidRPr="00B96C16" w:rsidRDefault="00ED5D1B" w:rsidP="00657724">
            <w:pPr>
              <w:spacing w:line="360" w:lineRule="auto"/>
              <w:jc w:val="center"/>
            </w:pPr>
            <w:r w:rsidRPr="003C022A">
              <w:t>36 000</w:t>
            </w:r>
          </w:p>
        </w:tc>
      </w:tr>
    </w:tbl>
    <w:p w14:paraId="41DEC53C" w14:textId="77777777" w:rsidR="00ED5D1B" w:rsidRPr="00A838C3" w:rsidRDefault="00ED5D1B" w:rsidP="00ED5D1B">
      <w:pPr>
        <w:spacing w:line="360" w:lineRule="auto"/>
      </w:pPr>
    </w:p>
    <w:sectPr w:rsidR="00ED5D1B" w:rsidRPr="00A838C3" w:rsidSect="00D70746">
      <w:footerReference w:type="default" r:id="rId27"/>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31AEE" w14:textId="77777777" w:rsidR="00060340" w:rsidRDefault="00060340" w:rsidP="0083362D">
      <w:pPr>
        <w:spacing w:after="0" w:line="240" w:lineRule="auto"/>
      </w:pPr>
      <w:r>
        <w:separator/>
      </w:r>
    </w:p>
  </w:endnote>
  <w:endnote w:type="continuationSeparator" w:id="0">
    <w:p w14:paraId="3A7DCC36" w14:textId="77777777" w:rsidR="00060340" w:rsidRDefault="00060340" w:rsidP="0083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797"/>
      <w:docPartObj>
        <w:docPartGallery w:val="Page Numbers (Bottom of Page)"/>
        <w:docPartUnique/>
      </w:docPartObj>
    </w:sdtPr>
    <w:sdtEndPr/>
    <w:sdtContent>
      <w:p w14:paraId="64F420E8" w14:textId="1F0B878C" w:rsidR="00081395" w:rsidRDefault="00060340">
        <w:pPr>
          <w:pStyle w:val="Pieddepage"/>
          <w:jc w:val="right"/>
        </w:pPr>
      </w:p>
    </w:sdtContent>
  </w:sdt>
  <w:p w14:paraId="2E710FD0" w14:textId="77777777" w:rsidR="00691451" w:rsidRDefault="0069145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31552"/>
      <w:docPartObj>
        <w:docPartGallery w:val="Page Numbers (Bottom of Page)"/>
        <w:docPartUnique/>
      </w:docPartObj>
    </w:sdtPr>
    <w:sdtEndPr/>
    <w:sdtContent>
      <w:p w14:paraId="4C615944" w14:textId="77777777" w:rsidR="009E0008" w:rsidRDefault="009E0008">
        <w:pPr>
          <w:pStyle w:val="Pieddepage"/>
          <w:jc w:val="right"/>
        </w:pPr>
        <w:r>
          <w:fldChar w:fldCharType="begin"/>
        </w:r>
        <w:r>
          <w:instrText>PAGE   \* MERGEFORMAT</w:instrText>
        </w:r>
        <w:r>
          <w:fldChar w:fldCharType="separate"/>
        </w:r>
        <w:r>
          <w:t>2</w:t>
        </w:r>
        <w:r>
          <w:fldChar w:fldCharType="end"/>
        </w:r>
      </w:p>
    </w:sdtContent>
  </w:sdt>
  <w:p w14:paraId="4DAA7306" w14:textId="77777777" w:rsidR="009E0008" w:rsidRDefault="009E000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513338"/>
      <w:docPartObj>
        <w:docPartGallery w:val="Page Numbers (Bottom of Page)"/>
        <w:docPartUnique/>
      </w:docPartObj>
    </w:sdtPr>
    <w:sdtEndPr/>
    <w:sdtContent>
      <w:p w14:paraId="047AFFDA" w14:textId="77777777" w:rsidR="00556997" w:rsidRDefault="00556997">
        <w:pPr>
          <w:pStyle w:val="Pieddepage"/>
          <w:jc w:val="right"/>
        </w:pPr>
        <w:r>
          <w:fldChar w:fldCharType="begin"/>
        </w:r>
        <w:r>
          <w:instrText>PAGE   \* MERGEFORMAT</w:instrText>
        </w:r>
        <w:r>
          <w:fldChar w:fldCharType="separate"/>
        </w:r>
        <w:r>
          <w:t>2</w:t>
        </w:r>
        <w:r>
          <w:fldChar w:fldCharType="end"/>
        </w:r>
      </w:p>
    </w:sdtContent>
  </w:sdt>
  <w:p w14:paraId="7DB613CD" w14:textId="77777777" w:rsidR="00556997" w:rsidRDefault="0055699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520406"/>
      <w:docPartObj>
        <w:docPartGallery w:val="Page Numbers (Bottom of Page)"/>
        <w:docPartUnique/>
      </w:docPartObj>
    </w:sdtPr>
    <w:sdtEndPr/>
    <w:sdtContent>
      <w:p w14:paraId="2064E260" w14:textId="77777777" w:rsidR="00D70746" w:rsidRDefault="00D70746">
        <w:pPr>
          <w:pStyle w:val="Pieddepage"/>
          <w:jc w:val="right"/>
        </w:pPr>
        <w:r>
          <w:fldChar w:fldCharType="begin"/>
        </w:r>
        <w:r>
          <w:instrText>PAGE   \* MERGEFORMAT</w:instrText>
        </w:r>
        <w:r>
          <w:fldChar w:fldCharType="separate"/>
        </w:r>
        <w:r>
          <w:t>2</w:t>
        </w:r>
        <w:r>
          <w:fldChar w:fldCharType="end"/>
        </w:r>
      </w:p>
    </w:sdtContent>
  </w:sdt>
  <w:p w14:paraId="594D34C5" w14:textId="77777777" w:rsidR="00D70746" w:rsidRDefault="00D707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07E09" w14:textId="77777777" w:rsidR="00060340" w:rsidRDefault="00060340" w:rsidP="0083362D">
      <w:pPr>
        <w:spacing w:after="0" w:line="240" w:lineRule="auto"/>
      </w:pPr>
      <w:r>
        <w:separator/>
      </w:r>
    </w:p>
  </w:footnote>
  <w:footnote w:type="continuationSeparator" w:id="0">
    <w:p w14:paraId="688BA39D" w14:textId="77777777" w:rsidR="00060340" w:rsidRDefault="00060340" w:rsidP="0083362D">
      <w:pPr>
        <w:spacing w:after="0" w:line="240" w:lineRule="auto"/>
      </w:pPr>
      <w:r>
        <w:continuationSeparator/>
      </w:r>
    </w:p>
  </w:footnote>
  <w:footnote w:id="1">
    <w:p w14:paraId="4CE9E682" w14:textId="77777777" w:rsidR="00947C1C" w:rsidRPr="00174BE4" w:rsidRDefault="00947C1C" w:rsidP="00947C1C">
      <w:pPr>
        <w:pStyle w:val="Notedebasdepage1"/>
        <w:rPr>
          <w:i/>
          <w:iCs/>
          <w:sz w:val="18"/>
          <w:szCs w:val="18"/>
        </w:rPr>
      </w:pPr>
      <w:r w:rsidRPr="00174BE4">
        <w:rPr>
          <w:rStyle w:val="Appelnotedebasdep"/>
          <w:i/>
          <w:iCs/>
          <w:sz w:val="18"/>
          <w:szCs w:val="18"/>
        </w:rPr>
        <w:footnoteRef/>
      </w:r>
      <w:r w:rsidRPr="00174BE4">
        <w:rPr>
          <w:i/>
          <w:iCs/>
          <w:sz w:val="18"/>
          <w:szCs w:val="18"/>
        </w:rPr>
        <w:t xml:space="preserve"> https://www.tarifdouanier.eu/info/abreviations/4126</w:t>
      </w:r>
    </w:p>
  </w:footnote>
  <w:footnote w:id="2">
    <w:p w14:paraId="443CE46A" w14:textId="77777777" w:rsidR="00947C1C" w:rsidRPr="00174BE4" w:rsidRDefault="00947C1C" w:rsidP="00947C1C">
      <w:pPr>
        <w:pStyle w:val="Notedebasdepage1"/>
        <w:rPr>
          <w:i/>
          <w:iCs/>
          <w:sz w:val="18"/>
          <w:szCs w:val="18"/>
        </w:rPr>
      </w:pPr>
      <w:r w:rsidRPr="00174BE4">
        <w:rPr>
          <w:rStyle w:val="Appelnotedebasdep"/>
          <w:i/>
          <w:iCs/>
          <w:sz w:val="18"/>
          <w:szCs w:val="18"/>
        </w:rPr>
        <w:footnoteRef/>
      </w:r>
      <w:r w:rsidRPr="00174BE4">
        <w:rPr>
          <w:i/>
          <w:iCs/>
          <w:sz w:val="18"/>
          <w:szCs w:val="18"/>
        </w:rPr>
        <w:t xml:space="preserve"> http://gdt.oqlf.gouv.qc.ca/ficheOqlf.aspx?Id_Fiche=26506979</w:t>
      </w:r>
    </w:p>
  </w:footnote>
  <w:footnote w:id="3">
    <w:p w14:paraId="6F139284" w14:textId="77777777" w:rsidR="00947C1C" w:rsidRPr="00174BE4" w:rsidRDefault="00947C1C" w:rsidP="00947C1C">
      <w:pPr>
        <w:pStyle w:val="Notedebasdepage1"/>
        <w:rPr>
          <w:i/>
          <w:iCs/>
          <w:sz w:val="18"/>
          <w:szCs w:val="18"/>
        </w:rPr>
      </w:pPr>
      <w:r w:rsidRPr="00174BE4">
        <w:rPr>
          <w:rStyle w:val="Appelnotedebasdep"/>
          <w:i/>
          <w:iCs/>
          <w:sz w:val="18"/>
          <w:szCs w:val="18"/>
        </w:rPr>
        <w:footnoteRef/>
      </w:r>
      <w:r w:rsidRPr="00174BE4">
        <w:rPr>
          <w:i/>
          <w:iCs/>
          <w:sz w:val="18"/>
          <w:szCs w:val="18"/>
        </w:rPr>
        <w:t xml:space="preserve"> https://debitoor.fr/termes-comptables/fichier-csv</w:t>
      </w:r>
    </w:p>
  </w:footnote>
  <w:footnote w:id="4">
    <w:p w14:paraId="5CE8D441" w14:textId="77777777" w:rsidR="00947C1C" w:rsidRDefault="00947C1C" w:rsidP="00947C1C">
      <w:pPr>
        <w:pStyle w:val="Default"/>
      </w:pPr>
      <w:r w:rsidRPr="00174BE4">
        <w:rPr>
          <w:rStyle w:val="Appelnotedebasdep"/>
          <w:i/>
          <w:iCs/>
          <w:sz w:val="18"/>
          <w:szCs w:val="18"/>
        </w:rPr>
        <w:footnoteRef/>
      </w:r>
      <w:r w:rsidRPr="00174BE4">
        <w:rPr>
          <w:i/>
          <w:iCs/>
          <w:sz w:val="22"/>
          <w:szCs w:val="22"/>
        </w:rPr>
        <w:t xml:space="preserve"> </w:t>
      </w:r>
      <w:proofErr w:type="spellStart"/>
      <w:r w:rsidRPr="00174BE4">
        <w:rPr>
          <w:rFonts w:ascii="Calibri" w:hAnsi="Calibri" w:cs="Times New Roman"/>
          <w:i/>
          <w:iCs/>
          <w:color w:val="auto"/>
          <w:sz w:val="18"/>
          <w:szCs w:val="18"/>
        </w:rPr>
        <w:t>Etc</w:t>
      </w:r>
      <w:proofErr w:type="spellEnd"/>
      <w:r w:rsidRPr="00174BE4">
        <w:rPr>
          <w:rFonts w:ascii="Calibri" w:hAnsi="Calibri" w:cs="Times New Roman"/>
          <w:i/>
          <w:iCs/>
          <w:color w:val="auto"/>
          <w:sz w:val="18"/>
          <w:szCs w:val="18"/>
        </w:rPr>
        <w:t xml:space="preserve"> Terra </w:t>
      </w:r>
      <w:proofErr w:type="spellStart"/>
      <w:r w:rsidRPr="00174BE4">
        <w:rPr>
          <w:rFonts w:ascii="Calibri" w:hAnsi="Calibri" w:cs="Times New Roman"/>
          <w:i/>
          <w:iCs/>
          <w:color w:val="auto"/>
          <w:sz w:val="18"/>
          <w:szCs w:val="18"/>
        </w:rPr>
        <w:t>Rongead</w:t>
      </w:r>
      <w:proofErr w:type="spellEnd"/>
      <w:r w:rsidRPr="00174BE4">
        <w:rPr>
          <w:rFonts w:ascii="Calibri" w:hAnsi="Calibri" w:cs="Times New Roman"/>
          <w:i/>
          <w:iCs/>
          <w:color w:val="auto"/>
          <w:sz w:val="18"/>
          <w:szCs w:val="18"/>
        </w:rPr>
        <w:t>, 2018,</w:t>
      </w:r>
      <w:r w:rsidRPr="00174BE4">
        <w:rPr>
          <w:i/>
          <w:iCs/>
          <w:sz w:val="22"/>
          <w:szCs w:val="22"/>
        </w:rPr>
        <w:t xml:space="preserve"> </w:t>
      </w:r>
      <w:r w:rsidRPr="00174BE4">
        <w:rPr>
          <w:rFonts w:ascii="Calibri" w:hAnsi="Calibri" w:cs="Times New Roman"/>
          <w:i/>
          <w:iCs/>
          <w:color w:val="auto"/>
          <w:sz w:val="18"/>
          <w:szCs w:val="18"/>
        </w:rPr>
        <w:t>Capitalisation des secteurs biogaz et foyers améliorés à Madagascar</w:t>
      </w:r>
    </w:p>
  </w:footnote>
  <w:footnote w:id="5">
    <w:p w14:paraId="4CAB4766" w14:textId="77777777" w:rsidR="00F96011" w:rsidRDefault="00F96011" w:rsidP="00F96011">
      <w:pPr>
        <w:pStyle w:val="Notedebasdepage"/>
        <w:rPr>
          <w:rFonts w:ascii="Calibri" w:hAnsi="Calibri"/>
        </w:rPr>
      </w:pPr>
      <w:r>
        <w:rPr>
          <w:rStyle w:val="Appelnotedebasdep"/>
        </w:rPr>
        <w:footnoteRef/>
      </w:r>
      <w:r>
        <w:t xml:space="preserve"> Formule disponible en </w:t>
      </w:r>
      <w:r w:rsidRPr="00710860">
        <w:t>Annexe 1</w:t>
      </w:r>
    </w:p>
  </w:footnote>
  <w:footnote w:id="6">
    <w:p w14:paraId="61DF02CC" w14:textId="77777777" w:rsidR="00F96011" w:rsidRDefault="00F96011" w:rsidP="00F96011">
      <w:pPr>
        <w:pStyle w:val="Notedebasdepage"/>
        <w:jc w:val="both"/>
      </w:pPr>
      <w:r>
        <w:rPr>
          <w:rStyle w:val="Appelnotedebasdep"/>
        </w:rPr>
        <w:footnoteRef/>
      </w:r>
      <w:r>
        <w:t xml:space="preserve"> La masse volumique du bois énergie est estimée à 700 kg/m</w:t>
      </w:r>
      <w:r>
        <w:rPr>
          <w:vertAlign w:val="superscript"/>
        </w:rPr>
        <w:t>3</w:t>
      </w:r>
      <w:r>
        <w:t xml:space="preserve"> selon GIZ, 2018, Améliorer la chaîne de valeur bois-énergie ! Pourquoi ? Eco Consult, Antananarivo, 26p.</w:t>
      </w:r>
    </w:p>
  </w:footnote>
  <w:footnote w:id="7">
    <w:p w14:paraId="437B37C8" w14:textId="77777777" w:rsidR="00F96011" w:rsidRDefault="00F96011" w:rsidP="00F96011">
      <w:pPr>
        <w:pStyle w:val="Notedebasdepage"/>
        <w:jc w:val="both"/>
      </w:pPr>
      <w:r>
        <w:rPr>
          <w:rStyle w:val="Appelnotedebasdep"/>
        </w:rPr>
        <w:footnoteRef/>
      </w:r>
      <w:r>
        <w:t xml:space="preserve"> En se basant sur l’Etude de la production et de la consommation en produits forestiers ligneux à Madagascar initié par </w:t>
      </w:r>
      <w:proofErr w:type="spellStart"/>
      <w:r>
        <w:t>JariAla</w:t>
      </w:r>
      <w:proofErr w:type="spellEnd"/>
      <w:r>
        <w:t xml:space="preserve"> en 2006, les Accroissements Annuels Moyens (AAM) des plantations de pin et d’eucalyptus sont respectivement de 15 m³/ha et de 20 m³/ha. En considérant que ces deux espèces sont les plus utilisées pour le reboisement à vocation énergétique, cela donne un AAM mixte de 17,5 m³/ha pour le reboisement.</w:t>
      </w:r>
    </w:p>
    <w:p w14:paraId="6917CE2B" w14:textId="77777777" w:rsidR="00F96011" w:rsidRDefault="00F96011" w:rsidP="00F96011">
      <w:pPr>
        <w:pStyle w:val="Notedebasdepage"/>
        <w:jc w:val="both"/>
      </w:pPr>
      <w:r>
        <w:t>Etant donné que : AAM = Volume (m³) / Superficie (ha), donc, l’estimation de la Superficie de reboisement pour couvrir la totalité de la consommation est : Superficie à reboiser = volume (m³) / AAM (17,5 m³/ha).</w:t>
      </w:r>
    </w:p>
  </w:footnote>
  <w:footnote w:id="8">
    <w:p w14:paraId="514D31A5" w14:textId="77777777" w:rsidR="00F96011" w:rsidRDefault="00F96011" w:rsidP="00F96011">
      <w:pPr>
        <w:pStyle w:val="Notedebasdepage"/>
        <w:jc w:val="both"/>
      </w:pPr>
      <w:r>
        <w:rPr>
          <w:rStyle w:val="Appelnotedebasdep"/>
        </w:rPr>
        <w:footnoteRef/>
      </w:r>
      <w:r>
        <w:t xml:space="preserve"> Il s’agit du taux de bois prélevés dans les reboisements.</w:t>
      </w:r>
    </w:p>
  </w:footnote>
  <w:footnote w:id="9">
    <w:p w14:paraId="1976619B" w14:textId="77777777" w:rsidR="00F96011" w:rsidRDefault="00F96011" w:rsidP="00F96011">
      <w:pPr>
        <w:pStyle w:val="Notedebasdepage"/>
        <w:jc w:val="both"/>
      </w:pPr>
      <w:r>
        <w:rPr>
          <w:rStyle w:val="Appelnotedebasdep"/>
        </w:rPr>
        <w:footnoteRef/>
      </w:r>
      <w:r>
        <w:t xml:space="preserve"> Même principe que les reboisements mais il s’agit de l’AAM mixte des formations naturelles recensées dans chaque District, à savoir : Forêt dense humide 5,89 m³/ha ; Forêt dense sèche 1,04 m³/ha ; Forêt épineuse / fourré 0,84 m³/ha et Mangrove 5 m³/ha. (Annexe 2)</w:t>
      </w:r>
    </w:p>
  </w:footnote>
  <w:footnote w:id="10">
    <w:p w14:paraId="6D8B48E7" w14:textId="77777777" w:rsidR="00F96011" w:rsidRDefault="00F96011" w:rsidP="00F96011">
      <w:pPr>
        <w:pStyle w:val="Notedebasdepage"/>
      </w:pPr>
      <w:r>
        <w:rPr>
          <w:rStyle w:val="Appelnotedebasdep"/>
        </w:rPr>
        <w:footnoteRef/>
      </w:r>
      <w:r>
        <w:t xml:space="preserve"> Il s’agit du taux de bois prélevés dans les formations forestières naturelles.</w:t>
      </w:r>
    </w:p>
  </w:footnote>
  <w:footnote w:id="11">
    <w:p w14:paraId="0491FCFA" w14:textId="77777777" w:rsidR="00ED5D1B" w:rsidRDefault="00ED5D1B" w:rsidP="00ED5D1B">
      <w:pPr>
        <w:pStyle w:val="Notedebasdepage"/>
      </w:pPr>
      <w:r>
        <w:rPr>
          <w:rStyle w:val="Appelnotedebasdep"/>
        </w:rPr>
        <w:footnoteRef/>
      </w:r>
      <w:r>
        <w:t xml:space="preserve"> </w:t>
      </w:r>
      <w:hyperlink r:id="rId1" w:history="1">
        <w:r w:rsidRPr="00F21FFD">
          <w:rPr>
            <w:rStyle w:val="Lienhypertexte"/>
          </w:rPr>
          <w:t>https://www.picbleu.fr/page/les-foyers-chauffage-fonctionnant-bio-ethanol</w:t>
        </w:r>
      </w:hyperlink>
      <w:r w:rsidRPr="007958F2">
        <w:t>,</w:t>
      </w:r>
      <w:r>
        <w:t xml:space="preserve"> </w:t>
      </w:r>
      <w:r w:rsidRPr="007958F2">
        <w:t>1 litre de bioéthanol lampant fournit 7 KWh de chaleur.</w:t>
      </w:r>
    </w:p>
    <w:p w14:paraId="6FA2B911" w14:textId="77777777" w:rsidR="00ED5D1B" w:rsidRDefault="00ED5D1B" w:rsidP="00ED5D1B">
      <w:pPr>
        <w:pStyle w:val="Notedebasdepage"/>
      </w:pPr>
    </w:p>
  </w:footnote>
  <w:footnote w:id="12">
    <w:p w14:paraId="50A2AE7F" w14:textId="77777777" w:rsidR="00ED5D1B" w:rsidRDefault="00ED5D1B" w:rsidP="00ED5D1B">
      <w:pPr>
        <w:pStyle w:val="Notedebasdepage"/>
      </w:pPr>
      <w:r>
        <w:rPr>
          <w:rStyle w:val="Appelnotedebasdep"/>
        </w:rPr>
        <w:footnoteRef/>
      </w:r>
      <w:r>
        <w:t xml:space="preserve"> </w:t>
      </w:r>
      <w:r w:rsidRPr="007958F2">
        <w:t xml:space="preserve"> </w:t>
      </w:r>
      <w:hyperlink r:id="rId2" w:history="1">
        <w:r w:rsidRPr="00F21FFD">
          <w:rPr>
            <w:rStyle w:val="Lienhypertexte"/>
          </w:rPr>
          <w:t>https://www.picbleu.fr/page/equivalence-energetique-des-combustibles-energies-chauffage</w:t>
        </w:r>
      </w:hyperlink>
      <w:r w:rsidRPr="007958F2">
        <w:t>,</w:t>
      </w:r>
      <w:r>
        <w:t xml:space="preserve"> </w:t>
      </w:r>
      <w:r w:rsidRPr="007958F2">
        <w:t>1 kg de gaz butane (GPL) fournit environ 13,225 kWh d’énergie et 1 tonne briquettes de bois donne environ 4853</w:t>
      </w:r>
      <w:r>
        <w:t xml:space="preserve"> kWh.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614E" w14:textId="77777777" w:rsidR="0083362D" w:rsidRDefault="008336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D0B4" w14:textId="77777777" w:rsidR="00A64289" w:rsidRDefault="00A642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A59A7D50"/>
    <w:lvl w:ilvl="0" w:tplc="86DC4EDA">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D341C"/>
    <w:multiLevelType w:val="hybridMultilevel"/>
    <w:tmpl w:val="B3A2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89389C"/>
    <w:multiLevelType w:val="hybridMultilevel"/>
    <w:tmpl w:val="F676A2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C5404"/>
    <w:multiLevelType w:val="hybridMultilevel"/>
    <w:tmpl w:val="BE902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6919F0"/>
    <w:multiLevelType w:val="hybridMultilevel"/>
    <w:tmpl w:val="AA3C2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DC4500"/>
    <w:multiLevelType w:val="hybridMultilevel"/>
    <w:tmpl w:val="B1D0E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4F0B99"/>
    <w:multiLevelType w:val="multilevel"/>
    <w:tmpl w:val="543CF6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875B0B"/>
    <w:multiLevelType w:val="hybridMultilevel"/>
    <w:tmpl w:val="FCD05E78"/>
    <w:lvl w:ilvl="0" w:tplc="C1E4B8A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5402D2"/>
    <w:multiLevelType w:val="multilevel"/>
    <w:tmpl w:val="E9841B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175256"/>
    <w:multiLevelType w:val="hybridMultilevel"/>
    <w:tmpl w:val="D9B69F98"/>
    <w:lvl w:ilvl="0" w:tplc="94341A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3530F"/>
    <w:multiLevelType w:val="hybridMultilevel"/>
    <w:tmpl w:val="524214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27762C"/>
    <w:multiLevelType w:val="hybridMultilevel"/>
    <w:tmpl w:val="8AE01624"/>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11"/>
  </w:num>
  <w:num w:numId="4">
    <w:abstractNumId w:val="7"/>
  </w:num>
  <w:num w:numId="5">
    <w:abstractNumId w:val="7"/>
  </w:num>
  <w:num w:numId="6">
    <w:abstractNumId w:val="7"/>
  </w:num>
  <w:num w:numId="7">
    <w:abstractNumId w:val="2"/>
  </w:num>
  <w:num w:numId="8">
    <w:abstractNumId w:val="7"/>
  </w:num>
  <w:num w:numId="9">
    <w:abstractNumId w:val="5"/>
  </w:num>
  <w:num w:numId="10">
    <w:abstractNumId w:val="10"/>
  </w:num>
  <w:num w:numId="11">
    <w:abstractNumId w:val="4"/>
  </w:num>
  <w:num w:numId="12">
    <w:abstractNumId w:val="6"/>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57"/>
    <w:rsid w:val="00002DEA"/>
    <w:rsid w:val="00021912"/>
    <w:rsid w:val="00024879"/>
    <w:rsid w:val="00026DE1"/>
    <w:rsid w:val="00052DF9"/>
    <w:rsid w:val="00060340"/>
    <w:rsid w:val="00063374"/>
    <w:rsid w:val="000722FF"/>
    <w:rsid w:val="00072F7B"/>
    <w:rsid w:val="00077DAC"/>
    <w:rsid w:val="00081395"/>
    <w:rsid w:val="00085EEF"/>
    <w:rsid w:val="000A2DB7"/>
    <w:rsid w:val="000A77A3"/>
    <w:rsid w:val="000B62F7"/>
    <w:rsid w:val="000C5BEE"/>
    <w:rsid w:val="000E0943"/>
    <w:rsid w:val="000E4A60"/>
    <w:rsid w:val="000E5FB0"/>
    <w:rsid w:val="000F0C68"/>
    <w:rsid w:val="001027EB"/>
    <w:rsid w:val="00117C5E"/>
    <w:rsid w:val="001246AC"/>
    <w:rsid w:val="0013533D"/>
    <w:rsid w:val="001535E4"/>
    <w:rsid w:val="001628A3"/>
    <w:rsid w:val="00172C90"/>
    <w:rsid w:val="00173B10"/>
    <w:rsid w:val="00180401"/>
    <w:rsid w:val="001A6C7C"/>
    <w:rsid w:val="001B0121"/>
    <w:rsid w:val="001E50B5"/>
    <w:rsid w:val="001E5C32"/>
    <w:rsid w:val="001E729B"/>
    <w:rsid w:val="00214868"/>
    <w:rsid w:val="00220191"/>
    <w:rsid w:val="00224F5F"/>
    <w:rsid w:val="00227BE7"/>
    <w:rsid w:val="0024666C"/>
    <w:rsid w:val="00257A77"/>
    <w:rsid w:val="00260106"/>
    <w:rsid w:val="00275E7C"/>
    <w:rsid w:val="00297FB5"/>
    <w:rsid w:val="002B1731"/>
    <w:rsid w:val="002F4119"/>
    <w:rsid w:val="00307A0A"/>
    <w:rsid w:val="003311FF"/>
    <w:rsid w:val="003371E6"/>
    <w:rsid w:val="00337F87"/>
    <w:rsid w:val="00342FD4"/>
    <w:rsid w:val="003574DA"/>
    <w:rsid w:val="003714F0"/>
    <w:rsid w:val="00382791"/>
    <w:rsid w:val="00386E2F"/>
    <w:rsid w:val="00387B57"/>
    <w:rsid w:val="003942AF"/>
    <w:rsid w:val="003A113D"/>
    <w:rsid w:val="003C34C7"/>
    <w:rsid w:val="003E1FFB"/>
    <w:rsid w:val="003E57A5"/>
    <w:rsid w:val="003F08F6"/>
    <w:rsid w:val="004116CA"/>
    <w:rsid w:val="00413D00"/>
    <w:rsid w:val="00413D82"/>
    <w:rsid w:val="004175ED"/>
    <w:rsid w:val="0043768D"/>
    <w:rsid w:val="00450B96"/>
    <w:rsid w:val="00464901"/>
    <w:rsid w:val="00491317"/>
    <w:rsid w:val="00493DDD"/>
    <w:rsid w:val="0049777F"/>
    <w:rsid w:val="004A65EC"/>
    <w:rsid w:val="004B1A2D"/>
    <w:rsid w:val="004B5DE6"/>
    <w:rsid w:val="004C07F8"/>
    <w:rsid w:val="004E1C8A"/>
    <w:rsid w:val="004E634B"/>
    <w:rsid w:val="004F3DEF"/>
    <w:rsid w:val="004F4C6C"/>
    <w:rsid w:val="004F5F7D"/>
    <w:rsid w:val="00511987"/>
    <w:rsid w:val="0052054C"/>
    <w:rsid w:val="00533F84"/>
    <w:rsid w:val="0053414F"/>
    <w:rsid w:val="005428FD"/>
    <w:rsid w:val="005446D6"/>
    <w:rsid w:val="00545D49"/>
    <w:rsid w:val="005477FB"/>
    <w:rsid w:val="00550638"/>
    <w:rsid w:val="00556997"/>
    <w:rsid w:val="00563577"/>
    <w:rsid w:val="00567994"/>
    <w:rsid w:val="005A694F"/>
    <w:rsid w:val="005C306C"/>
    <w:rsid w:val="005F3120"/>
    <w:rsid w:val="005F45D7"/>
    <w:rsid w:val="00605423"/>
    <w:rsid w:val="00606D4B"/>
    <w:rsid w:val="006077A0"/>
    <w:rsid w:val="0061295D"/>
    <w:rsid w:val="006215BB"/>
    <w:rsid w:val="006403A7"/>
    <w:rsid w:val="0064128D"/>
    <w:rsid w:val="00652531"/>
    <w:rsid w:val="006640CA"/>
    <w:rsid w:val="00670132"/>
    <w:rsid w:val="00670E1A"/>
    <w:rsid w:val="0067583F"/>
    <w:rsid w:val="00691451"/>
    <w:rsid w:val="0069279D"/>
    <w:rsid w:val="0069701B"/>
    <w:rsid w:val="0069749B"/>
    <w:rsid w:val="006A2060"/>
    <w:rsid w:val="006A7FB0"/>
    <w:rsid w:val="006B084E"/>
    <w:rsid w:val="006B3587"/>
    <w:rsid w:val="006E465F"/>
    <w:rsid w:val="00700D13"/>
    <w:rsid w:val="0070794C"/>
    <w:rsid w:val="00710860"/>
    <w:rsid w:val="00730454"/>
    <w:rsid w:val="007316F2"/>
    <w:rsid w:val="00732CE1"/>
    <w:rsid w:val="00746467"/>
    <w:rsid w:val="00747809"/>
    <w:rsid w:val="00756972"/>
    <w:rsid w:val="00767F75"/>
    <w:rsid w:val="007958F2"/>
    <w:rsid w:val="007968E9"/>
    <w:rsid w:val="007A0ACA"/>
    <w:rsid w:val="007A66E6"/>
    <w:rsid w:val="007B1378"/>
    <w:rsid w:val="007B22DC"/>
    <w:rsid w:val="007B56C4"/>
    <w:rsid w:val="007C665C"/>
    <w:rsid w:val="0080445D"/>
    <w:rsid w:val="00817A63"/>
    <w:rsid w:val="00827BC4"/>
    <w:rsid w:val="00832DE3"/>
    <w:rsid w:val="0083362D"/>
    <w:rsid w:val="00846959"/>
    <w:rsid w:val="008469A5"/>
    <w:rsid w:val="00854401"/>
    <w:rsid w:val="00863AD4"/>
    <w:rsid w:val="0088043B"/>
    <w:rsid w:val="008A5143"/>
    <w:rsid w:val="008A6B56"/>
    <w:rsid w:val="008A7DB7"/>
    <w:rsid w:val="008D3988"/>
    <w:rsid w:val="008E516E"/>
    <w:rsid w:val="00903918"/>
    <w:rsid w:val="00912C6C"/>
    <w:rsid w:val="0092169B"/>
    <w:rsid w:val="009312CB"/>
    <w:rsid w:val="00932018"/>
    <w:rsid w:val="00947C1C"/>
    <w:rsid w:val="009545F9"/>
    <w:rsid w:val="0095651F"/>
    <w:rsid w:val="00971A04"/>
    <w:rsid w:val="009731A5"/>
    <w:rsid w:val="0097534A"/>
    <w:rsid w:val="00991537"/>
    <w:rsid w:val="009961A2"/>
    <w:rsid w:val="00996515"/>
    <w:rsid w:val="009A13FF"/>
    <w:rsid w:val="009A5517"/>
    <w:rsid w:val="009A5E0A"/>
    <w:rsid w:val="009B09E2"/>
    <w:rsid w:val="009C38B4"/>
    <w:rsid w:val="009D64C9"/>
    <w:rsid w:val="009E0008"/>
    <w:rsid w:val="009E2721"/>
    <w:rsid w:val="00A021EC"/>
    <w:rsid w:val="00A20D43"/>
    <w:rsid w:val="00A37DE7"/>
    <w:rsid w:val="00A404E6"/>
    <w:rsid w:val="00A4177F"/>
    <w:rsid w:val="00A448D1"/>
    <w:rsid w:val="00A6058F"/>
    <w:rsid w:val="00A64289"/>
    <w:rsid w:val="00A7377E"/>
    <w:rsid w:val="00A73928"/>
    <w:rsid w:val="00A838C3"/>
    <w:rsid w:val="00A92FDE"/>
    <w:rsid w:val="00AA7FA8"/>
    <w:rsid w:val="00AB0164"/>
    <w:rsid w:val="00AB51C6"/>
    <w:rsid w:val="00AC7440"/>
    <w:rsid w:val="00AD283D"/>
    <w:rsid w:val="00AD616D"/>
    <w:rsid w:val="00AD71D7"/>
    <w:rsid w:val="00AE72EE"/>
    <w:rsid w:val="00B0532B"/>
    <w:rsid w:val="00B10CDC"/>
    <w:rsid w:val="00B14FEB"/>
    <w:rsid w:val="00B21CC3"/>
    <w:rsid w:val="00B22ADB"/>
    <w:rsid w:val="00B22F6D"/>
    <w:rsid w:val="00B27B95"/>
    <w:rsid w:val="00B300A5"/>
    <w:rsid w:val="00B32EA8"/>
    <w:rsid w:val="00B53ED6"/>
    <w:rsid w:val="00B56450"/>
    <w:rsid w:val="00B63792"/>
    <w:rsid w:val="00B83C17"/>
    <w:rsid w:val="00B85F39"/>
    <w:rsid w:val="00B90289"/>
    <w:rsid w:val="00B92F28"/>
    <w:rsid w:val="00B96C16"/>
    <w:rsid w:val="00BA195C"/>
    <w:rsid w:val="00BA39E0"/>
    <w:rsid w:val="00BC292B"/>
    <w:rsid w:val="00BC3A7A"/>
    <w:rsid w:val="00BF57F5"/>
    <w:rsid w:val="00C0576E"/>
    <w:rsid w:val="00C10716"/>
    <w:rsid w:val="00C112B1"/>
    <w:rsid w:val="00C1258F"/>
    <w:rsid w:val="00C1654F"/>
    <w:rsid w:val="00C32F6D"/>
    <w:rsid w:val="00C344A9"/>
    <w:rsid w:val="00C40AC4"/>
    <w:rsid w:val="00C44AF9"/>
    <w:rsid w:val="00C60539"/>
    <w:rsid w:val="00C61117"/>
    <w:rsid w:val="00C634EC"/>
    <w:rsid w:val="00C67A24"/>
    <w:rsid w:val="00C72B38"/>
    <w:rsid w:val="00C73910"/>
    <w:rsid w:val="00C76BB3"/>
    <w:rsid w:val="00C76F3D"/>
    <w:rsid w:val="00C8069B"/>
    <w:rsid w:val="00C92718"/>
    <w:rsid w:val="00CA2AC7"/>
    <w:rsid w:val="00CB6946"/>
    <w:rsid w:val="00CD1E4A"/>
    <w:rsid w:val="00CD3009"/>
    <w:rsid w:val="00CD60F3"/>
    <w:rsid w:val="00CE5D96"/>
    <w:rsid w:val="00CF2B30"/>
    <w:rsid w:val="00CF4D53"/>
    <w:rsid w:val="00D057F5"/>
    <w:rsid w:val="00D34C5B"/>
    <w:rsid w:val="00D439F0"/>
    <w:rsid w:val="00D45691"/>
    <w:rsid w:val="00D50BFB"/>
    <w:rsid w:val="00D56518"/>
    <w:rsid w:val="00D626C2"/>
    <w:rsid w:val="00D702CB"/>
    <w:rsid w:val="00D70746"/>
    <w:rsid w:val="00D84DE9"/>
    <w:rsid w:val="00D8699E"/>
    <w:rsid w:val="00DB0B2E"/>
    <w:rsid w:val="00DC1244"/>
    <w:rsid w:val="00DE1FEE"/>
    <w:rsid w:val="00DE7F84"/>
    <w:rsid w:val="00DF1F54"/>
    <w:rsid w:val="00DF7A1B"/>
    <w:rsid w:val="00DF7FFE"/>
    <w:rsid w:val="00E00002"/>
    <w:rsid w:val="00E1288F"/>
    <w:rsid w:val="00E166E5"/>
    <w:rsid w:val="00E21B2D"/>
    <w:rsid w:val="00E27615"/>
    <w:rsid w:val="00E40CF5"/>
    <w:rsid w:val="00E42565"/>
    <w:rsid w:val="00E44F40"/>
    <w:rsid w:val="00E61EE3"/>
    <w:rsid w:val="00E623A0"/>
    <w:rsid w:val="00E6462E"/>
    <w:rsid w:val="00E66C13"/>
    <w:rsid w:val="00E67108"/>
    <w:rsid w:val="00E9573A"/>
    <w:rsid w:val="00EA3FBC"/>
    <w:rsid w:val="00EA4753"/>
    <w:rsid w:val="00EB58C7"/>
    <w:rsid w:val="00EC2DC8"/>
    <w:rsid w:val="00ED0CF6"/>
    <w:rsid w:val="00ED5D1B"/>
    <w:rsid w:val="00EE1DF9"/>
    <w:rsid w:val="00EF2066"/>
    <w:rsid w:val="00EF793E"/>
    <w:rsid w:val="00F03168"/>
    <w:rsid w:val="00F0442F"/>
    <w:rsid w:val="00F04834"/>
    <w:rsid w:val="00F10FF6"/>
    <w:rsid w:val="00F1168B"/>
    <w:rsid w:val="00F14569"/>
    <w:rsid w:val="00F16ED8"/>
    <w:rsid w:val="00F16F78"/>
    <w:rsid w:val="00F33135"/>
    <w:rsid w:val="00F34A19"/>
    <w:rsid w:val="00F37870"/>
    <w:rsid w:val="00F507FE"/>
    <w:rsid w:val="00F54F34"/>
    <w:rsid w:val="00F847D1"/>
    <w:rsid w:val="00F96011"/>
    <w:rsid w:val="00FC2CF3"/>
    <w:rsid w:val="00FC4573"/>
    <w:rsid w:val="00FE6C1E"/>
    <w:rsid w:val="00FF358C"/>
    <w:rsid w:val="00FF432F"/>
    <w:rsid w:val="00FF43FF"/>
    <w:rsid w:val="00FF66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B101"/>
  <w15:chartTrackingRefBased/>
  <w15:docId w15:val="{B20BF84D-CF58-41D9-883D-F95D77E7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A0"/>
    <w:pPr>
      <w:spacing w:line="256" w:lineRule="auto"/>
    </w:pPr>
  </w:style>
  <w:style w:type="paragraph" w:styleId="Titre1">
    <w:name w:val="heading 1"/>
    <w:basedOn w:val="Normal"/>
    <w:next w:val="Normal"/>
    <w:link w:val="Titre1Car"/>
    <w:uiPriority w:val="9"/>
    <w:qFormat/>
    <w:rsid w:val="00A92FDE"/>
    <w:pPr>
      <w:keepNext/>
      <w:keepLines/>
      <w:spacing w:before="240" w:after="120"/>
      <w:outlineLvl w:val="0"/>
    </w:pPr>
    <w:rPr>
      <w:rFonts w:asciiTheme="majorHAnsi" w:eastAsia="Calibri"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3587"/>
    <w:pPr>
      <w:keepNext/>
      <w:keepLines/>
      <w:spacing w:after="0"/>
      <w:outlineLvl w:val="1"/>
    </w:pPr>
    <w:rPr>
      <w:rFonts w:eastAsiaTheme="majorEastAsia" w:cstheme="majorBidi"/>
      <w:b/>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 Paragraph (numbered (a)),List Paragraph1,Indent Paragraph,References,List Paragraph (bulleted list),Bullet 1 List,Paragraphe de liste rapport atelier Mada,- List tir,liste 1,Paragraphe  revu,Paragraphe de liste1,Bullets,Premier"/>
    <w:basedOn w:val="Normal"/>
    <w:link w:val="ParagraphedelisteCar"/>
    <w:uiPriority w:val="34"/>
    <w:qFormat/>
    <w:rsid w:val="00C40AC4"/>
    <w:pPr>
      <w:spacing w:line="259" w:lineRule="auto"/>
      <w:ind w:left="720"/>
      <w:contextualSpacing/>
    </w:pPr>
  </w:style>
  <w:style w:type="table" w:styleId="Grilledutableau">
    <w:name w:val="Table Grid"/>
    <w:basedOn w:val="TableauNormal"/>
    <w:uiPriority w:val="39"/>
    <w:rsid w:val="0083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3362D"/>
    <w:rPr>
      <w:sz w:val="16"/>
      <w:szCs w:val="16"/>
    </w:rPr>
  </w:style>
  <w:style w:type="paragraph" w:styleId="Commentaire">
    <w:name w:val="annotation text"/>
    <w:basedOn w:val="Normal"/>
    <w:link w:val="CommentaireCar"/>
    <w:uiPriority w:val="99"/>
    <w:unhideWhenUsed/>
    <w:rsid w:val="0083362D"/>
    <w:pPr>
      <w:spacing w:line="240" w:lineRule="auto"/>
    </w:pPr>
    <w:rPr>
      <w:sz w:val="20"/>
      <w:szCs w:val="20"/>
    </w:rPr>
  </w:style>
  <w:style w:type="character" w:customStyle="1" w:styleId="CommentaireCar">
    <w:name w:val="Commentaire Car"/>
    <w:basedOn w:val="Policepardfaut"/>
    <w:link w:val="Commentaire"/>
    <w:uiPriority w:val="99"/>
    <w:rsid w:val="0083362D"/>
    <w:rPr>
      <w:sz w:val="20"/>
      <w:szCs w:val="20"/>
    </w:rPr>
  </w:style>
  <w:style w:type="paragraph" w:styleId="En-tte">
    <w:name w:val="header"/>
    <w:basedOn w:val="Normal"/>
    <w:link w:val="En-tteCar"/>
    <w:uiPriority w:val="99"/>
    <w:unhideWhenUsed/>
    <w:rsid w:val="0083362D"/>
    <w:pPr>
      <w:tabs>
        <w:tab w:val="center" w:pos="4536"/>
        <w:tab w:val="right" w:pos="9072"/>
      </w:tabs>
      <w:spacing w:after="0" w:line="240" w:lineRule="auto"/>
    </w:pPr>
  </w:style>
  <w:style w:type="character" w:customStyle="1" w:styleId="En-tteCar">
    <w:name w:val="En-tête Car"/>
    <w:basedOn w:val="Policepardfaut"/>
    <w:link w:val="En-tte"/>
    <w:uiPriority w:val="99"/>
    <w:rsid w:val="0083362D"/>
  </w:style>
  <w:style w:type="paragraph" w:styleId="Pieddepage">
    <w:name w:val="footer"/>
    <w:basedOn w:val="Normal"/>
    <w:link w:val="PieddepageCar"/>
    <w:uiPriority w:val="99"/>
    <w:unhideWhenUsed/>
    <w:rsid w:val="008336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62D"/>
  </w:style>
  <w:style w:type="table" w:customStyle="1" w:styleId="Grilledutableau1">
    <w:name w:val="Grille du tableau1"/>
    <w:basedOn w:val="TableauNormal"/>
    <w:next w:val="Grilledutableau"/>
    <w:uiPriority w:val="39"/>
    <w:rsid w:val="00D84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903918"/>
    <w:rPr>
      <w:b/>
      <w:bCs/>
    </w:rPr>
  </w:style>
  <w:style w:type="character" w:customStyle="1" w:styleId="ObjetducommentaireCar">
    <w:name w:val="Objet du commentaire Car"/>
    <w:basedOn w:val="CommentaireCar"/>
    <w:link w:val="Objetducommentaire"/>
    <w:uiPriority w:val="99"/>
    <w:semiHidden/>
    <w:rsid w:val="00903918"/>
    <w:rPr>
      <w:b/>
      <w:bCs/>
      <w:sz w:val="20"/>
      <w:szCs w:val="20"/>
    </w:rPr>
  </w:style>
  <w:style w:type="paragraph" w:styleId="Notedebasdepage">
    <w:name w:val="footnote text"/>
    <w:basedOn w:val="Normal"/>
    <w:link w:val="NotedebasdepageCar"/>
    <w:uiPriority w:val="99"/>
    <w:semiHidden/>
    <w:unhideWhenUsed/>
    <w:rsid w:val="00EA475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4753"/>
    <w:rPr>
      <w:sz w:val="20"/>
      <w:szCs w:val="20"/>
    </w:rPr>
  </w:style>
  <w:style w:type="character" w:styleId="Appelnotedebasdep">
    <w:name w:val="footnote reference"/>
    <w:basedOn w:val="Policepardfaut"/>
    <w:uiPriority w:val="99"/>
    <w:semiHidden/>
    <w:unhideWhenUsed/>
    <w:rsid w:val="00EA4753"/>
    <w:rPr>
      <w:vertAlign w:val="superscript"/>
    </w:rPr>
  </w:style>
  <w:style w:type="character" w:styleId="Accentuation">
    <w:name w:val="Emphasis"/>
    <w:basedOn w:val="Policepardfaut"/>
    <w:uiPriority w:val="20"/>
    <w:qFormat/>
    <w:rsid w:val="005428FD"/>
    <w:rPr>
      <w:i/>
      <w:iCs/>
    </w:rPr>
  </w:style>
  <w:style w:type="table" w:customStyle="1" w:styleId="Grilledutableau2">
    <w:name w:val="Grille du tableau2"/>
    <w:basedOn w:val="TableauNormal"/>
    <w:next w:val="Grilledutableau"/>
    <w:uiPriority w:val="39"/>
    <w:rsid w:val="0049131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6C16"/>
    <w:pPr>
      <w:spacing w:after="200" w:line="240" w:lineRule="auto"/>
    </w:pPr>
    <w:rPr>
      <w:i/>
      <w:iCs/>
      <w:color w:val="44546A" w:themeColor="text2"/>
      <w:sz w:val="18"/>
      <w:szCs w:val="18"/>
    </w:rPr>
  </w:style>
  <w:style w:type="character" w:styleId="Lienhypertexte">
    <w:name w:val="Hyperlink"/>
    <w:basedOn w:val="Policepardfaut"/>
    <w:uiPriority w:val="99"/>
    <w:unhideWhenUsed/>
    <w:rsid w:val="004E1C8A"/>
    <w:rPr>
      <w:color w:val="0563C1" w:themeColor="hyperlink"/>
      <w:u w:val="single"/>
    </w:rPr>
  </w:style>
  <w:style w:type="character" w:styleId="Mentionnonrsolue">
    <w:name w:val="Unresolved Mention"/>
    <w:basedOn w:val="Policepardfaut"/>
    <w:uiPriority w:val="99"/>
    <w:semiHidden/>
    <w:unhideWhenUsed/>
    <w:rsid w:val="004E1C8A"/>
    <w:rPr>
      <w:color w:val="605E5C"/>
      <w:shd w:val="clear" w:color="auto" w:fill="E1DFDD"/>
    </w:rPr>
  </w:style>
  <w:style w:type="character" w:styleId="Lienhypertextesuivivisit">
    <w:name w:val="FollowedHyperlink"/>
    <w:basedOn w:val="Policepardfaut"/>
    <w:uiPriority w:val="99"/>
    <w:semiHidden/>
    <w:unhideWhenUsed/>
    <w:rsid w:val="004E1C8A"/>
    <w:rPr>
      <w:color w:val="954F72" w:themeColor="followedHyperlink"/>
      <w:u w:val="single"/>
    </w:rPr>
  </w:style>
  <w:style w:type="paragraph" w:customStyle="1" w:styleId="Notedebasdepage1">
    <w:name w:val="Note de bas de page1"/>
    <w:basedOn w:val="Normal"/>
    <w:next w:val="Notedebasdepage"/>
    <w:uiPriority w:val="99"/>
    <w:semiHidden/>
    <w:unhideWhenUsed/>
    <w:rsid w:val="00947C1C"/>
    <w:pPr>
      <w:spacing w:after="0" w:line="240" w:lineRule="auto"/>
    </w:pPr>
    <w:rPr>
      <w:sz w:val="20"/>
      <w:szCs w:val="20"/>
    </w:rPr>
  </w:style>
  <w:style w:type="paragraph" w:customStyle="1" w:styleId="Default">
    <w:name w:val="Default"/>
    <w:rsid w:val="00947C1C"/>
    <w:pPr>
      <w:autoSpaceDE w:val="0"/>
      <w:autoSpaceDN w:val="0"/>
      <w:adjustRightInd w:val="0"/>
      <w:spacing w:after="0" w:line="240" w:lineRule="auto"/>
    </w:pPr>
    <w:rPr>
      <w:rFonts w:ascii="Arial" w:hAnsi="Arial" w:cs="Arial"/>
      <w:color w:val="000000"/>
      <w:sz w:val="24"/>
      <w:szCs w:val="24"/>
    </w:rPr>
  </w:style>
  <w:style w:type="numbering" w:customStyle="1" w:styleId="Aucuneliste1">
    <w:name w:val="Aucune liste1"/>
    <w:next w:val="Aucuneliste"/>
    <w:uiPriority w:val="99"/>
    <w:semiHidden/>
    <w:unhideWhenUsed/>
    <w:rsid w:val="00F96011"/>
  </w:style>
  <w:style w:type="paragraph" w:customStyle="1" w:styleId="msonormal0">
    <w:name w:val="msonormal"/>
    <w:basedOn w:val="Normal"/>
    <w:rsid w:val="00F96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edebasdepageCar1">
    <w:name w:val="Note de bas de page Car1"/>
    <w:basedOn w:val="Policepardfaut"/>
    <w:uiPriority w:val="99"/>
    <w:semiHidden/>
    <w:locked/>
    <w:rsid w:val="00F96011"/>
    <w:rPr>
      <w:rFonts w:ascii="Calibri" w:eastAsia="Calibri" w:hAnsi="Calibri" w:cs="Times New Roman"/>
      <w:sz w:val="20"/>
      <w:szCs w:val="20"/>
    </w:rPr>
  </w:style>
  <w:style w:type="table" w:customStyle="1" w:styleId="Grilledutableau3">
    <w:name w:val="Grille du tableau3"/>
    <w:basedOn w:val="TableauNormal"/>
    <w:next w:val="Grilledutableau"/>
    <w:uiPriority w:val="39"/>
    <w:rsid w:val="00F9601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92FDE"/>
    <w:rPr>
      <w:rFonts w:asciiTheme="majorHAnsi" w:eastAsia="Calibri"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3587"/>
    <w:rPr>
      <w:rFonts w:eastAsiaTheme="majorEastAsia" w:cstheme="majorBidi"/>
      <w:b/>
      <w:szCs w:val="26"/>
    </w:rPr>
  </w:style>
  <w:style w:type="paragraph" w:styleId="En-ttedetabledesmatires">
    <w:name w:val="TOC Heading"/>
    <w:basedOn w:val="Titre1"/>
    <w:next w:val="Normal"/>
    <w:uiPriority w:val="39"/>
    <w:unhideWhenUsed/>
    <w:qFormat/>
    <w:rsid w:val="00A92FDE"/>
    <w:pPr>
      <w:spacing w:line="259" w:lineRule="auto"/>
      <w:outlineLvl w:val="9"/>
    </w:pPr>
    <w:rPr>
      <w:lang w:eastAsia="fr-FR"/>
    </w:rPr>
  </w:style>
  <w:style w:type="paragraph" w:styleId="TM1">
    <w:name w:val="toc 1"/>
    <w:basedOn w:val="Normal"/>
    <w:next w:val="Normal"/>
    <w:autoRedefine/>
    <w:uiPriority w:val="39"/>
    <w:unhideWhenUsed/>
    <w:rsid w:val="00A92FDE"/>
    <w:pPr>
      <w:spacing w:after="100"/>
    </w:pPr>
  </w:style>
  <w:style w:type="paragraph" w:styleId="TM2">
    <w:name w:val="toc 2"/>
    <w:basedOn w:val="Normal"/>
    <w:next w:val="Normal"/>
    <w:autoRedefine/>
    <w:uiPriority w:val="39"/>
    <w:unhideWhenUsed/>
    <w:rsid w:val="00A92FDE"/>
    <w:pPr>
      <w:spacing w:after="100"/>
      <w:ind w:left="220"/>
    </w:pPr>
  </w:style>
  <w:style w:type="table" w:customStyle="1" w:styleId="Grilledutableau4">
    <w:name w:val="Grille du tableau4"/>
    <w:basedOn w:val="TableauNormal"/>
    <w:next w:val="Grilledutableau"/>
    <w:uiPriority w:val="39"/>
    <w:rsid w:val="00C1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417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A8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next w:val="Grilledutableau"/>
    <w:uiPriority w:val="39"/>
    <w:rsid w:val="00A8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
    <w:name w:val="Grille du tableau8"/>
    <w:basedOn w:val="TableauNormal"/>
    <w:next w:val="Grilledutableau"/>
    <w:uiPriority w:val="39"/>
    <w:rsid w:val="00A8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39"/>
    <w:rsid w:val="00A8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next w:val="Grilledutableau"/>
    <w:uiPriority w:val="39"/>
    <w:rsid w:val="00A8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39"/>
    <w:rsid w:val="00275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2">
    <w:name w:val="Grille du tableau12"/>
    <w:basedOn w:val="TableauNormal"/>
    <w:next w:val="Grilledutableau"/>
    <w:uiPriority w:val="39"/>
    <w:rsid w:val="00275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9E000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E0008"/>
    <w:rPr>
      <w:rFonts w:eastAsiaTheme="minorEastAsia"/>
      <w:lang w:eastAsia="fr-FR"/>
    </w:rPr>
  </w:style>
  <w:style w:type="character" w:customStyle="1" w:styleId="ParagraphedelisteCar">
    <w:name w:val="Paragraphe de liste Car"/>
    <w:aliases w:val="List Paragraph (numbered (a)) Car,List Paragraph1 Car,Indent Paragraph Car,References Car,List Paragraph (bulleted list) Car,Bullet 1 List Car,Paragraphe de liste rapport atelier Mada Car,- List tir Car,liste 1 Car,Bullets Car"/>
    <w:basedOn w:val="Policepardfaut"/>
    <w:link w:val="Paragraphedeliste"/>
    <w:uiPriority w:val="34"/>
    <w:qFormat/>
    <w:rsid w:val="0071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0791">
      <w:bodyDiv w:val="1"/>
      <w:marLeft w:val="0"/>
      <w:marRight w:val="0"/>
      <w:marTop w:val="0"/>
      <w:marBottom w:val="0"/>
      <w:divBdr>
        <w:top w:val="none" w:sz="0" w:space="0" w:color="auto"/>
        <w:left w:val="none" w:sz="0" w:space="0" w:color="auto"/>
        <w:bottom w:val="none" w:sz="0" w:space="0" w:color="auto"/>
        <w:right w:val="none" w:sz="0" w:space="0" w:color="auto"/>
      </w:divBdr>
    </w:div>
    <w:div w:id="1122963950">
      <w:bodyDiv w:val="1"/>
      <w:marLeft w:val="0"/>
      <w:marRight w:val="0"/>
      <w:marTop w:val="0"/>
      <w:marBottom w:val="0"/>
      <w:divBdr>
        <w:top w:val="none" w:sz="0" w:space="0" w:color="auto"/>
        <w:left w:val="none" w:sz="0" w:space="0" w:color="auto"/>
        <w:bottom w:val="none" w:sz="0" w:space="0" w:color="auto"/>
        <w:right w:val="none" w:sz="0" w:space="0" w:color="auto"/>
      </w:divBdr>
    </w:div>
    <w:div w:id="1347293218">
      <w:bodyDiv w:val="1"/>
      <w:marLeft w:val="0"/>
      <w:marRight w:val="0"/>
      <w:marTop w:val="0"/>
      <w:marBottom w:val="0"/>
      <w:divBdr>
        <w:top w:val="none" w:sz="0" w:space="0" w:color="auto"/>
        <w:left w:val="none" w:sz="0" w:space="0" w:color="auto"/>
        <w:bottom w:val="none" w:sz="0" w:space="0" w:color="auto"/>
        <w:right w:val="none" w:sz="0" w:space="0" w:color="auto"/>
      </w:divBdr>
    </w:div>
    <w:div w:id="1910189875">
      <w:bodyDiv w:val="1"/>
      <w:marLeft w:val="0"/>
      <w:marRight w:val="0"/>
      <w:marTop w:val="0"/>
      <w:marBottom w:val="0"/>
      <w:divBdr>
        <w:top w:val="none" w:sz="0" w:space="0" w:color="auto"/>
        <w:left w:val="none" w:sz="0" w:space="0" w:color="auto"/>
        <w:bottom w:val="none" w:sz="0" w:space="0" w:color="auto"/>
        <w:right w:val="none" w:sz="0" w:space="0" w:color="auto"/>
      </w:divBdr>
    </w:div>
    <w:div w:id="1939023157">
      <w:bodyDiv w:val="1"/>
      <w:marLeft w:val="0"/>
      <w:marRight w:val="0"/>
      <w:marTop w:val="0"/>
      <w:marBottom w:val="0"/>
      <w:divBdr>
        <w:top w:val="none" w:sz="0" w:space="0" w:color="auto"/>
        <w:left w:val="none" w:sz="0" w:space="0" w:color="auto"/>
        <w:bottom w:val="none" w:sz="0" w:space="0" w:color="auto"/>
        <w:right w:val="none" w:sz="0" w:space="0" w:color="auto"/>
      </w:divBdr>
    </w:div>
    <w:div w:id="200520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www.picbleu.fr/page/equivalence-energetique-des-combustibles-energies-chauffage" TargetMode="External"/><Relationship Id="rId1" Type="http://schemas.openxmlformats.org/officeDocument/2006/relationships/hyperlink" Target="https://www.picbleu.fr/page/les-foyers-chauffage-fonctionnant-bio-ethano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47F9D-6C25-4CE9-BED9-647B98FE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11883</Words>
  <Characters>65361</Characters>
  <Application>Microsoft Office Word</Application>
  <DocSecurity>0</DocSecurity>
  <Lines>544</Lines>
  <Paragraphs>154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Dimby Raherinjatovoarison</dc:creator>
  <cp:keywords/>
  <dc:description/>
  <cp:lastModifiedBy>Dimby Raherinjatovoarison</cp:lastModifiedBy>
  <cp:revision>13</cp:revision>
  <dcterms:created xsi:type="dcterms:W3CDTF">2021-06-18T13:24:00Z</dcterms:created>
  <dcterms:modified xsi:type="dcterms:W3CDTF">2021-06-21T07:19:00Z</dcterms:modified>
</cp:coreProperties>
</file>