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0.2.0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Shown in the dashboard's source column. HTTP checks, Databricks jobs and 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 storage also link to their page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double. Above 0 and below 1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file, once unchanged on two polls. A file still there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after it appeared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The exit code is read as a number, so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00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+0</w:t>
      </w:r>
      <w:r>
        <w:rPr>
          <w:rFonts w:ascii="Times New Roman" w:hAnsi="Times New Roman" w:eastAsia="Batang"/>
          <w:sz w:val="22"/>
        </w:rPr>
        <w:t xml:space="preserve"> are all a success.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, Chapter IV, Section 3). Bodies are limited to 1 MB. </w:t>
      </w:r>
      <w:r>
        <w:rPr>
          <w:rFonts w:ascii="Consolas" w:hAnsi="Consolas" w:eastAsia="Consolas"/>
          <w:sz w:val="18"/>
        </w:rPr>
        <w:t>millis</w:t>
      </w:r>
      <w:r>
        <w:rPr>
          <w:rFonts w:ascii="Times New Roman" w:hAnsi="Times New Roman" w:eastAsia="Batang"/>
          <w:sz w:val="22"/>
        </w:rPr>
        <w:t xml:space="preserve"> below 0 counts as 0, and above one day as one day, so a gateway reporting nonsense cannot disturb the counts.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. One that is not there is ignored and logged, so the report still counts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the last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address, which the proxy in front appends,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