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0.2.0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9. Databricks cost</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2"/>
      </w:pPr>
      <w:r>
        <w:rPr>
          <w:rFonts w:ascii="Times New Roman" w:hAnsi="Times New Roman" w:eastAsia="Batang"/>
          <w:b/>
          <w:color w:val="000000"/>
          <w:sz w:val="24"/>
        </w:rPr>
        <w:t>9. Databricks cost</w:t>
      </w:r>
    </w:p>
    <w:p>
      <w:pPr>
        <w:spacing w:line="384" w:lineRule="auto" w:after="120"/>
        <w:jc w:val="both"/>
      </w:pPr>
      <w:r>
        <w:rPr>
          <w:rFonts w:ascii="Times New Roman" w:hAnsi="Times New Roman" w:eastAsia="Batang"/>
          <w:sz w:val="22"/>
        </w:rPr>
        <w:t>laplace can show what each Databricks job costs, next to its runs and in the monthly report, and warn when a job suddenly costs far more than usual. It reads Databricks' billing system tables through a SQL warehouse:</w:t>
      </w:r>
    </w:p>
    <w:p>
      <w:pPr>
        <w:pStyle w:val="ListNumber"/>
        <w:spacing w:line="384" w:lineRule="auto" w:after="120"/>
      </w:pPr>
      <w:r>
        <w:rPr>
          <w:rFonts w:ascii="Times New Roman" w:hAnsi="Times New Roman" w:eastAsia="Batang"/>
          <w:sz w:val="22"/>
        </w:rPr>
        <w:t>Pick or create a SQL warehouse; a small serverless one is enough. Set</w:t>
      </w:r>
    </w:p>
    <w:p>
      <w:pPr>
        <w:spacing w:line="384" w:lineRule="auto" w:after="120"/>
        <w:jc w:val="both"/>
      </w:pPr>
      <w:r>
        <w:rPr>
          <w:rFonts w:ascii="Consolas" w:hAnsi="Consolas" w:eastAsia="Consolas"/>
          <w:sz w:val="18"/>
        </w:rPr>
        <w:t>DATABRICKS_WAREHOUSE_ID</w:t>
      </w:r>
      <w:r>
        <w:rPr>
          <w:rFonts w:ascii="Times New Roman" w:hAnsi="Times New Roman" w:eastAsia="Batang"/>
          <w:sz w:val="22"/>
        </w:rPr>
        <w:t xml:space="preserve"> to its id and </w:t>
      </w:r>
      <w:r>
        <w:rPr>
          <w:rFonts w:ascii="Consolas" w:hAnsi="Consolas" w:eastAsia="Consolas"/>
          <w:sz w:val="18"/>
        </w:rPr>
        <w:t>DATABRICKS_WORKSPACE_ID</w:t>
      </w:r>
      <w:r>
        <w:rPr>
          <w:rFonts w:ascii="Times New Roman" w:hAnsi="Times New Roman" w:eastAsia="Batang"/>
          <w:sz w:val="22"/>
        </w:rPr>
        <w:t xml:space="preserve"> to this workspace's id.</w:t>
      </w:r>
    </w:p>
    <w:p>
      <w:pPr>
        <w:pStyle w:val="ListNumber"/>
        <w:spacing w:line="384" w:lineRule="auto" w:after="120"/>
      </w:pPr>
      <w:r>
        <w:rPr>
          <w:rFonts w:ascii="Times New Roman" w:hAnsi="Times New Roman" w:eastAsia="Batang"/>
          <w:sz w:val="22"/>
        </w:rPr>
        <w:t xml:space="preserve">Give laplace's token, preferably a service principal's, </w:t>
      </w:r>
      <w:r>
        <w:rPr>
          <w:rFonts w:ascii="Consolas" w:hAnsi="Consolas" w:eastAsia="Consolas"/>
          <w:sz w:val="18"/>
        </w:rPr>
        <w:t>CAN USE</w:t>
      </w:r>
      <w:r>
        <w:rPr>
          <w:rFonts w:ascii="Times New Roman" w:hAnsi="Times New Roman" w:eastAsia="Batang"/>
          <w:sz w:val="22"/>
        </w:rPr>
        <w:t xml:space="preserve"> on the warehouse and</w:t>
      </w:r>
    </w:p>
    <w:p>
      <w:pPr>
        <w:spacing w:line="384" w:lineRule="auto" w:after="120"/>
        <w:jc w:val="both"/>
      </w:pPr>
      <w:r>
        <w:rPr>
          <w:rFonts w:ascii="Times New Roman" w:hAnsi="Times New Roman" w:eastAsia="Batang"/>
          <w:sz w:val="22"/>
        </w:rPr>
        <w:t>read access to the billing tables:</w:t>
      </w:r>
    </w:p>
    <w:p>
      <w:pPr>
        <w:spacing w:line="240" w:lineRule="auto" w:before="120" w:after="120"/>
        <w:ind w:left="454"/>
      </w:pPr>
      <w:r>
        <w:rPr>
          <w:rFonts w:ascii="Consolas" w:hAnsi="Consolas" w:eastAsia="Consolas"/>
          <w:sz w:val="18"/>
        </w:rPr>
        <w:t>GRANT USE CATALOG ON CATALOG system TO `laplace`;</w:t>
        <w:br/>
        <w:t>GRANT USE SCHEMA ON SCHEMA system.billing TO `laplace`;</w:t>
        <w:br/>
        <w:t>GRANT SELECT ON TABLE system.billing.usage TO `laplace`;</w:t>
        <w:br/>
        <w:t>GRANT SELECT ON TABLE system.billing.list_prices TO `laplace`;</w:t>
      </w:r>
    </w:p>
    <w:p>
      <w:pPr>
        <w:spacing w:line="384" w:lineRule="auto" w:after="120"/>
        <w:jc w:val="both"/>
      </w:pPr>
      <w:r>
        <w:rPr>
          <w:rFonts w:ascii="Times New Roman" w:hAnsi="Times New Roman" w:eastAsia="Batang"/>
          <w:sz w:val="22"/>
        </w:rPr>
        <w:t>Every hour laplace fetches the cost per job and day for the last 40 days and replaces what it had, so late corrections land. Usage reaches the tables within about 12 hours, so costs run up to yesterday, not up to the minute.</w:t>
      </w:r>
    </w:p>
    <w:p>
      <w:pPr>
        <w:spacing w:line="384" w:lineRule="auto" w:after="120"/>
        <w:jc w:val="both"/>
      </w:pPr>
      <w:r>
        <w:rPr>
          <w:rFonts w:ascii="Times New Roman" w:hAnsi="Times New Roman" w:eastAsia="Batang"/>
          <w:sz w:val="22"/>
        </w:rPr>
        <w:t>The numbers are Databricks' own charge at list price: before any discount the account has, and on Azure without the charge for the virtual machines of classic compute. They show which job costs what and when that changes; the invoice remains the source for the total.</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spacing w:line="384" w:lineRule="auto" w:after="120"/>
        <w:jc w:val="both"/>
      </w:pPr>
      <w:r>
        <w:rPr>
          <w:rFonts w:ascii="Times New Roman" w:hAnsi="Times New Roman" w:eastAsia="Batang"/>
          <w:sz w:val="22"/>
        </w:rPr>
        <w:t xml:space="preserve">For a file transfer, use two flows: the job doing the transfer reports its own runs, and an </w:t>
      </w:r>
      <w:r>
        <w:rPr>
          <w:rFonts w:ascii="Consolas" w:hAnsi="Consolas" w:eastAsia="Consolas"/>
          <w:sz w:val="18"/>
        </w:rPr>
        <w:t>sftp</w:t>
      </w:r>
      <w:r>
        <w:rPr>
          <w:rFonts w:ascii="Times New Roman" w:hAnsi="Times New Roman" w:eastAsia="Batang"/>
          <w:sz w:val="22"/>
        </w:rPr>
        <w:t xml:space="preserve"> or </w:t>
      </w:r>
      <w:r>
        <w:rPr>
          <w:rFonts w:ascii="Consolas" w:hAnsi="Consolas" w:eastAsia="Consolas"/>
          <w:sz w:val="18"/>
        </w:rPr>
        <w:t>storage</w:t>
      </w:r>
      <w:r>
        <w:rPr>
          <w:rFonts w:ascii="Times New Roman" w:hAnsi="Times New Roman" w:eastAsia="Batang"/>
          <w:sz w:val="22"/>
        </w:rPr>
        <w:t xml:space="preserve"> flow watches the folder, declared </w:t>
      </w:r>
      <w:r>
        <w:rPr>
          <w:rFonts w:ascii="Consolas" w:hAnsi="Consolas" w:eastAsia="Consolas"/>
          <w:sz w:val="18"/>
        </w:rPr>
        <w:t>after</w:t>
      </w:r>
      <w:r>
        <w:rPr>
          <w:rFonts w:ascii="Times New Roman" w:hAnsi="Times New Roman" w:eastAsia="Batang"/>
          <w:sz w:val="22"/>
        </w:rPr>
        <w:t xml:space="preserve"> the job so one fault gives one alert. The job's reports catch a transfer that failed or never ran, including one whose file was collected between two polls, which no folder check can see. The folder check catches what the job cannot see about itself: the file was never there, was empty, or was not collected.</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r>
        <w:tc>
          <w:tcPr>
            <w:tcW w:type="dxa" w:w="3135"/>
          </w:tcPr>
          <w:p>
            <w:r>
              <w:rPr>
                <w:rFonts w:ascii="Times New Roman" w:hAnsi="Times New Roman" w:eastAsia="Batang"/>
                <w:sz w:val="22"/>
              </w:rPr>
              <w:t>Databricks cost is at list price</w:t>
            </w:r>
          </w:p>
        </w:tc>
        <w:tc>
          <w:tcPr>
            <w:tcW w:type="dxa" w:w="3135"/>
          </w:tcPr>
          <w:p>
            <w:r>
              <w:rPr>
                <w:rFonts w:ascii="Times New Roman" w:hAnsi="Times New Roman" w:eastAsia="Batang"/>
                <w:sz w:val="22"/>
              </w:rPr>
              <w:t>Discounts and the cloud's machine charges are not in it</w:t>
            </w:r>
          </w:p>
        </w:tc>
        <w:tc>
          <w:tcPr>
            <w:tcW w:type="dxa" w:w="3135"/>
          </w:tcPr>
          <w:p>
            <w:r>
              <w:rPr>
                <w:rFonts w:ascii="Times New Roman" w:hAnsi="Times New Roman" w:eastAsia="Batang"/>
                <w:sz w:val="22"/>
              </w:rPr>
              <w:t>Use it to compare jobs and spot changes; the invoice for the total</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