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Shown in the dashboard's source column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file. A file older than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3). Bodies are limited to 1 MB.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Must exist in </w:t>
            </w:r>
            <w:r>
              <w:rPr>
                <w:rFonts w:ascii="Consolas" w:hAnsi="Consolas" w:eastAsia="Consolas"/>
                <w:sz w:val="18"/>
              </w:rPr>
              <w:t>[owners]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from a proxy in front,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