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Simplest. Needs no object-store feature</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table</w:t>
            </w:r>
          </w:p>
        </w:tc>
        <w:tc>
          <w:tcPr>
            <w:tcW w:type="dxa" w:w="3135"/>
          </w:tcPr>
          <w:p>
            <w:r>
              <w:rPr>
                <w:rFonts w:ascii="Times New Roman" w:hAnsi="Times New Roman" w:eastAsia="Batang"/>
                <w:b/>
                <w:sz w:val="22"/>
              </w:rPr>
              <w:t>No</w:t>
            </w:r>
          </w:p>
        </w:tc>
        <w:tc>
          <w:tcPr>
            <w:tcW w:type="dxa" w:w="3135"/>
          </w:tcPr>
          <w:p>
            <w:r>
              <w:rPr>
                <w:rFonts w:ascii="Times New Roman" w:hAnsi="Times New Roman" w:eastAsia="Batang"/>
                <w:sz w:val="22"/>
              </w:rPr>
              <w:t>Do not do this</w:t>
            </w:r>
          </w:p>
        </w:tc>
      </w:tr>
    </w:tbl>
    <w:p/>
    <w:p>
      <w:pPr>
        <w:spacing w:line="384" w:lineRule="auto" w:after="120"/>
        <w:jc w:val="both"/>
      </w:pPr>
      <w:r>
        <w:rPr>
          <w:rFonts w:ascii="Times New Roman" w:hAnsi="Times New Roman" w:eastAsia="Batang"/>
          <w:sz w:val="22"/>
        </w:rPr>
        <w:t>Never write to a Unity Catalog managed table. Managed tables assume Databricks is the only writer; a third-party writer can corrupt them, and the failure mode is not a clean error. Use an external location or a Volume, and register the result if a catalog entry is wanted.</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A failure in that burst raises </w:t>
      </w:r>
      <w:r>
        <w:rPr>
          <w:rFonts w:ascii="Consolas" w:hAnsi="Consolas" w:eastAsia="Consolas"/>
          <w:sz w:val="18"/>
        </w:rPr>
        <w:t>PartialCommitError</w:t>
      </w:r>
      <w:r>
        <w:rPr>
          <w:rFonts w:ascii="Times New Roman" w:hAnsi="Times New Roman" w:eastAsia="Batang"/>
          <w:sz w:val="22"/>
        </w:rPr>
        <w:t xml:space="preserve">, which carries </w:t>
      </w:r>
      <w:r>
        <w:rPr>
          <w:rFonts w:ascii="Consolas" w:hAnsi="Consolas" w:eastAsia="Consolas"/>
          <w:sz w:val="18"/>
        </w:rPr>
        <w:t>committed</w:t>
      </w:r>
      <w:r>
        <w:rPr>
          <w:rFonts w:ascii="Times New Roman" w:hAnsi="Times New Roman" w:eastAsia="Batang"/>
          <w:sz w:val="22"/>
        </w:rPr>
        <w:t xml:space="preserve"> and </w:t>
      </w:r>
      <w:r>
        <w:rPr>
          <w:rFonts w:ascii="Consolas" w:hAnsi="Consolas" w:eastAsia="Consolas"/>
          <w:sz w:val="18"/>
        </w:rPr>
        <w:t>total</w:t>
      </w:r>
      <w:r>
        <w:rPr>
          <w:rFonts w:ascii="Times New Roman" w:hAnsi="Times New Roman" w:eastAsia="Batang"/>
          <w:sz w:val="22"/>
        </w:rPr>
        <w:t xml:space="preserve">. Those two numbers are the whole diagnosis: </w:t>
      </w:r>
      <w:r>
        <w:rPr>
          <w:rFonts w:ascii="Consolas" w:hAnsi="Consolas" w:eastAsia="Consolas"/>
          <w:sz w:val="18"/>
        </w:rPr>
        <w:t>committed == 0</w:t>
      </w:r>
      <w:r>
        <w:rPr>
          <w:rFonts w:ascii="Times New Roman" w:hAnsi="Times New Roman" w:eastAsia="Batang"/>
          <w:sz w:val="22"/>
        </w:rPr>
        <w:t xml:space="preserve"> means nothing became visible and the situation is identical to a Phase 1 failure, while any larger value means that many tables are on the new day and the rest are not.</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schema differs</w:t>
            </w:r>
          </w:p>
        </w:tc>
        <w:tc>
          <w:tcPr>
            <w:tcW w:type="dxa" w:w="3135"/>
          </w:tcPr>
          <w:p>
            <w:r>
              <w:rPr>
                <w:rFonts w:ascii="Times New Roman" w:hAnsi="Times New Roman" w:eastAsia="Batang"/>
                <w:sz w:val="22"/>
              </w:rPr>
              <w:t xml:space="preserve">The sender changed a column and the run used </w:t>
            </w:r>
            <w:r>
              <w:rPr>
                <w:rFonts w:ascii="Consolas" w:hAnsi="Consolas" w:eastAsia="Consolas"/>
                <w:sz w:val="18"/>
              </w:rPr>
              <w:t>append</w:t>
            </w:r>
          </w:p>
        </w:tc>
        <w:tc>
          <w:tcPr>
            <w:tcW w:type="dxa" w:w="3135"/>
          </w:tcPr>
          <w:p>
            <w:r>
              <w:rPr>
                <w:rFonts w:ascii="Times New Roman" w:hAnsi="Times New Roman" w:eastAsia="Batang"/>
                <w:sz w:val="22"/>
              </w:rPr>
              <w:t xml:space="preserve">Only </w:t>
            </w:r>
            <w:r>
              <w:rPr>
                <w:rFonts w:ascii="Consolas" w:hAnsi="Consolas" w:eastAsia="Consolas"/>
                <w:sz w:val="18"/>
              </w:rPr>
              <w:t>overwrite</w:t>
            </w:r>
            <w:r>
              <w:rPr>
                <w:rFonts w:ascii="Times New Roman" w:hAnsi="Times New Roman" w:eastAsia="Batang"/>
                <w:sz w:val="22"/>
              </w:rPr>
              <w:t xml:space="preserve"> may change a schema. Confirm the change is intended, then use </w:t>
            </w:r>
            <w:r>
              <w:rPr>
                <w:rFonts w:ascii="Consolas" w:hAnsi="Consolas" w:eastAsia="Consolas"/>
                <w:sz w:val="18"/>
              </w:rPr>
              <w:t>overwrite</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is 0</w:t>
            </w:r>
          </w:p>
        </w:tc>
        <w:tc>
          <w:tcPr>
            <w:tcW w:type="dxa" w:w="3135"/>
          </w:tcPr>
          <w:p>
            <w:r>
              <w:rPr>
                <w:rFonts w:ascii="Times New Roman" w:hAnsi="Times New Roman" w:eastAsia="Batang"/>
                <w:sz w:val="22"/>
              </w:rPr>
              <w:t>The commit burst failed on its first table</w:t>
            </w:r>
          </w:p>
        </w:tc>
        <w:tc>
          <w:tcPr>
            <w:tcW w:type="dxa" w:w="3135"/>
          </w:tcPr>
          <w:p>
            <w:r>
              <w:rPr>
                <w:rFonts w:ascii="Times New Roman" w:hAnsi="Times New Roman" w:eastAsia="Batang"/>
                <w:sz w:val="22"/>
              </w:rPr>
              <w:t>Nothing became visible. Fix the cause and re-run</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above 0</w:t>
            </w:r>
          </w:p>
        </w:tc>
        <w:tc>
          <w:tcPr>
            <w:tcW w:type="dxa" w:w="3135"/>
          </w:tcPr>
          <w:p>
            <w:r>
              <w:rPr>
                <w:rFonts w:ascii="Times New Roman" w:hAnsi="Times New Roman" w:eastAsia="Batang"/>
                <w:sz w:val="22"/>
              </w:rPr>
              <w:t>The commit burst failed part way</w:t>
            </w:r>
          </w:p>
        </w:tc>
        <w:tc>
          <w:tcPr>
            <w:tcW w:type="dxa" w:w="3135"/>
          </w:tcPr>
          <w:p>
            <w:r>
              <w:rPr>
                <w:rFonts w:ascii="Consolas" w:hAnsi="Consolas" w:eastAsia="Consolas"/>
                <w:sz w:val="18"/>
              </w:rPr>
              <w:t>committed</w:t>
            </w:r>
            <w:r>
              <w:rPr>
                <w:rFonts w:ascii="Times New Roman" w:hAnsi="Times New Roman" w:eastAsia="Batang"/>
                <w:sz w:val="22"/>
              </w:rPr>
              <w:t xml:space="preserve"> tables are on the new day, the rest on the old. Re-run as soon as the cause is fixed</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Times New Roman" w:hAnsi="Times New Roman" w:eastAsia="Batang"/>
                <w:sz w:val="22"/>
              </w:rPr>
              <w:t xml:space="preserve">Whether </w:t>
            </w:r>
            <w:r>
              <w:rPr>
                <w:rFonts w:ascii="Consolas" w:hAnsi="Consolas" w:eastAsia="Consolas"/>
                <w:sz w:val="18"/>
              </w:rPr>
              <w:t>PartialCommitError</w:t>
            </w:r>
            <w:r>
              <w:rPr>
                <w:rFonts w:ascii="Times New Roman" w:hAnsi="Times New Roman" w:eastAsia="Batang"/>
                <w:sz w:val="22"/>
              </w:rPr>
              <w:t xml:space="preserve"> was raised, and its </w:t>
            </w:r>
            <w:r>
              <w:rPr>
                <w:rFonts w:ascii="Consolas" w:hAnsi="Consolas" w:eastAsia="Consolas"/>
                <w:sz w:val="18"/>
              </w:rPr>
              <w:t>committed</w:t>
            </w:r>
            <w:r>
              <w:rPr>
                <w:rFonts w:ascii="Times New Roman" w:hAnsi="Times New Roman" w:eastAsia="Batang"/>
                <w:sz w:val="22"/>
              </w:rPr>
              <w:t xml:space="preserve"> count</w:t>
            </w:r>
          </w:p>
        </w:tc>
        <w:tc>
          <w:tcPr>
            <w:tcW w:type="dxa" w:w="4702"/>
          </w:tcPr>
          <w:p>
            <w:r>
              <w:rPr>
                <w:rFonts w:ascii="Times New Roman" w:hAnsi="Times New Roman" w:eastAsia="Batang"/>
                <w:sz w:val="22"/>
              </w:rPr>
              <w:t>The only signal that a failed run left visible change</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schema_drift</w:t>
            </w:r>
          </w:p>
        </w:tc>
        <w:tc>
          <w:tcPr>
            <w:tcW w:type="dxa" w:w="4702"/>
          </w:tcPr>
          <w:p>
            <w:r>
              <w:rPr>
                <w:rFonts w:ascii="Times New Roman" w:hAnsi="Times New Roman" w:eastAsia="Batang"/>
                <w:sz w:val="22"/>
              </w:rPr>
              <w:t>Non-empty means the sender added, removed or retyped a column. This is how DDL change announces itself</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on a new </w:t>
      </w:r>
      <w:r>
        <w:rPr>
          <w:rFonts w:ascii="Consolas" w:hAnsi="Consolas" w:eastAsia="Consolas"/>
          <w:sz w:val="18"/>
        </w:rPr>
        <w:t>text_fallback_columns</w:t>
      </w:r>
      <w:r>
        <w:rPr>
          <w:rFonts w:ascii="Times New Roman" w:hAnsi="Times New Roman" w:eastAsia="Batang"/>
          <w:sz w:val="22"/>
        </w:rPr>
        <w:t xml:space="preserve"> entry, and on any non-empty </w:t>
      </w:r>
      <w:r>
        <w:rPr>
          <w:rFonts w:ascii="Consolas" w:hAnsi="Consolas" w:eastAsia="Consolas"/>
          <w:sz w:val="18"/>
        </w:rPr>
        <w:t>schema_drift</w:t>
      </w:r>
      <w:r>
        <w:rPr>
          <w:rFonts w:ascii="Times New Roman" w:hAnsi="Times New Roman" w:eastAsia="Batang"/>
          <w:sz w:val="22"/>
        </w:rPr>
        <w:t xml:space="preserve">. None of these is an error, and all four are how the sender's changes announce themselves. A non-empty </w:t>
      </w:r>
      <w:r>
        <w:rPr>
          <w:rFonts w:ascii="Consolas" w:hAnsi="Consolas" w:eastAsia="Consolas"/>
          <w:sz w:val="18"/>
        </w:rPr>
        <w:t>schema_drift</w:t>
      </w:r>
      <w:r>
        <w:rPr>
          <w:rFonts w:ascii="Times New Roman" w:hAnsi="Times New Roman" w:eastAsia="Batang"/>
          <w:sz w:val="22"/>
        </w:rPr>
        <w:t xml:space="preserve"> in particular means the Delta schema has just changed underneath every downstream consumer of that table.</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removed or retyped column</w:t>
      </w:r>
      <w:r>
        <w:rPr>
          <w:rFonts w:ascii="Times New Roman" w:hAnsi="Times New Roman" w:eastAsia="Batang"/>
          <w:sz w:val="22"/>
        </w:rPr>
        <w:t xml:space="preserve"> is picked up from the </w:t>
      </w:r>
      <w:r>
        <w:rPr>
          <w:rFonts w:ascii="Consolas" w:hAnsi="Consolas" w:eastAsia="Consolas"/>
          <w:sz w:val="18"/>
        </w:rPr>
        <w:t>CREATE TABLE</w:t>
      </w:r>
      <w:r>
        <w:rPr>
          <w:rFonts w:ascii="Times New Roman" w:hAnsi="Times New Roman" w:eastAsia="Batang"/>
          <w:sz w:val="22"/>
        </w:rPr>
        <w:t xml:space="preserve"> and the</w:t>
      </w:r>
    </w:p>
    <w:p>
      <w:pPr>
        <w:spacing w:line="384" w:lineRule="auto" w:after="120"/>
        <w:jc w:val="both"/>
      </w:pPr>
      <w:r>
        <w:rPr>
          <w:rFonts w:ascii="Consolas" w:hAnsi="Consolas" w:eastAsia="Consolas"/>
          <w:sz w:val="18"/>
        </w:rPr>
        <w:t>COPY</w:t>
      </w:r>
      <w:r>
        <w:rPr>
          <w:rFonts w:ascii="Times New Roman" w:hAnsi="Times New Roman" w:eastAsia="Batang"/>
          <w:sz w:val="22"/>
        </w:rPr>
        <w:t xml:space="preserve"> header. Under </w:t>
      </w:r>
      <w:r>
        <w:rPr>
          <w:rFonts w:ascii="Consolas" w:hAnsi="Consolas" w:eastAsia="Consolas"/>
          <w:sz w:val="18"/>
        </w:rPr>
        <w:t>overwrite</w:t>
      </w:r>
      <w:r>
        <w:rPr>
          <w:rFonts w:ascii="Times New Roman" w:hAnsi="Times New Roman" w:eastAsia="Batang"/>
          <w:sz w:val="22"/>
        </w:rPr>
        <w:t xml:space="preserve"> the Delta schema is replaced in the same commit that replaces the data, so the declared columns and the files always agree, and the change is reported per table in </w:t>
      </w:r>
      <w:r>
        <w:rPr>
          <w:rFonts w:ascii="Consolas" w:hAnsi="Consolas" w:eastAsia="Consolas"/>
          <w:sz w:val="18"/>
        </w:rPr>
        <w:t>schema_drift</w:t>
      </w:r>
      <w:r>
        <w:rPr>
          <w:rFonts w:ascii="Times New Roman" w:hAnsi="Times New Roman" w:eastAsia="Batang"/>
          <w:sz w:val="22"/>
        </w:rPr>
        <w:t xml:space="preserve">. Under </w:t>
      </w:r>
      <w:r>
        <w:rPr>
          <w:rFonts w:ascii="Consolas" w:hAnsi="Consolas" w:eastAsia="Consolas"/>
          <w:sz w:val="18"/>
        </w:rPr>
        <w:t>append</w:t>
      </w:r>
      <w:r>
        <w:rPr>
          <w:rFonts w:ascii="Times New Roman" w:hAnsi="Times New Roman" w:eastAsia="Batang"/>
          <w:sz w:val="22"/>
        </w:rPr>
        <w:t xml:space="preserve"> the load fails with </w:t>
      </w:r>
      <w:r>
        <w:rPr>
          <w:rFonts w:ascii="Consolas" w:hAnsi="Consolas" w:eastAsia="Consolas"/>
          <w:sz w:val="18"/>
        </w:rPr>
        <w:t>ValueError</w:t>
      </w:r>
      <w:r>
        <w:rPr>
          <w:rFonts w:ascii="Times New Roman" w:hAnsi="Times New Roman" w:eastAsia="Batang"/>
          <w:sz w:val="22"/>
        </w:rPr>
        <w:t xml:space="preserve"> naming the table and the columns, because appending rows shaped one way to a table declared another way cannot be made to mean anything.</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spacing w:line="384" w:lineRule="auto" w:after="120"/>
        <w:jc w:val="both"/>
      </w:pPr>
      <w:r>
        <w:rPr>
          <w:rFonts w:ascii="Times New Roman" w:hAnsi="Times New Roman" w:eastAsia="Batang"/>
          <w:sz w:val="22"/>
        </w:rPr>
        <w:t xml:space="preserve">A removed column is worth calling out separately: under </w:t>
      </w:r>
      <w:r>
        <w:rPr>
          <w:rFonts w:ascii="Consolas" w:hAnsi="Consolas" w:eastAsia="Consolas"/>
          <w:sz w:val="18"/>
        </w:rPr>
        <w:t>overwrite</w:t>
      </w:r>
      <w:r>
        <w:rPr>
          <w:rFonts w:ascii="Times New Roman" w:hAnsi="Times New Roman" w:eastAsia="Batang"/>
          <w:sz w:val="22"/>
        </w:rPr>
        <w:t xml:space="preserve"> the new schema no longer has it, so a downstream query referencing it breaks. That is the correct outcome, and </w:t>
      </w:r>
      <w:r>
        <w:rPr>
          <w:rFonts w:ascii="Consolas" w:hAnsi="Consolas" w:eastAsia="Consolas"/>
          <w:sz w:val="18"/>
        </w:rPr>
        <w:t>schema_drift</w:t>
      </w:r>
      <w:r>
        <w:rPr>
          <w:rFonts w:ascii="Times New Roman" w:hAnsi="Times New Roman" w:eastAsia="Batang"/>
          <w:sz w:val="22"/>
        </w:rPr>
        <w:t xml:space="preserve"> is how you find out before the query does rather than after.</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Nothing in the library detects this. Compare </w:t>
      </w:r>
      <w:r>
        <w:rPr>
          <w:rFonts w:ascii="Consolas" w:hAnsi="Consolas" w:eastAsia="Consolas"/>
          <w:sz w:val="18"/>
        </w:rPr>
        <w:t>report.tables</w:t>
      </w:r>
      <w:r>
        <w:rPr>
          <w:rFonts w:ascii="Times New Roman" w:hAnsi="Times New Roman" w:eastAsia="Batang"/>
          <w:sz w:val="22"/>
        </w:rPr>
        <w:t xml:space="preserve"> against the previous run and decide deliberately: mark it stale, drop it, or accept it. This is the most likely way for a downstream consumer to be quietly served yesterday's data, and it is called out in Appendix B for that reason.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C. Producing a compatibility fixture</w:t>
      </w:r>
    </w:p>
    <w:p>
      <w:pPr>
        <w:spacing w:line="384" w:lineRule="auto" w:after="120"/>
        <w:jc w:val="both"/>
      </w:pPr>
      <w:r>
        <w:rPr>
          <w:rFonts w:ascii="Times New Roman" w:hAnsi="Times New Roman" w:eastAsia="Batang"/>
          <w:sz w:val="22"/>
        </w:rPr>
        <w:t xml:space="preserve">A parser bug that only reproduces on the real feed cannot be investigated if the feed cannot leave your environment. </w:t>
      </w:r>
      <w:r>
        <w:rPr>
          <w:rFonts w:ascii="Consolas" w:hAnsi="Consolas" w:eastAsia="Consolas"/>
          <w:sz w:val="18"/>
        </w:rPr>
        <w:t>tools/anonymise_dump.py</w:t>
      </w:r>
      <w:r>
        <w:rPr>
          <w:rFonts w:ascii="Times New Roman" w:hAnsi="Times New Roman" w:eastAsia="Batang"/>
          <w:sz w:val="22"/>
        </w:rPr>
        <w:t xml:space="preserve"> exists for that case.</w:t>
      </w:r>
    </w:p>
    <w:p>
      <w:pPr>
        <w:spacing w:line="240" w:lineRule="auto" w:before="120" w:after="120"/>
        <w:ind w:left="454"/>
      </w:pPr>
      <w:r>
        <w:rPr>
          <w:rFonts w:ascii="Consolas" w:hAnsi="Consolas" w:eastAsia="Consolas"/>
          <w:sz w:val="18"/>
        </w:rPr>
        <w:t>python tools/anonymise_dump.py /Volumes/main/landing/pg/day.sql fixture.sql     --max-rows 200 --audit</w:t>
      </w:r>
    </w:p>
    <w:p>
      <w:pPr>
        <w:spacing w:line="384" w:lineRule="auto" w:after="120"/>
        <w:jc w:val="both"/>
      </w:pPr>
      <w:r>
        <w:rPr>
          <w:rFonts w:ascii="Times New Roman" w:hAnsi="Times New Roman" w:eastAsia="Batang"/>
          <w:sz w:val="22"/>
        </w:rPr>
        <w:t>It runs where the dump already is. It opens no network connection and imports nothing outside the standard library, so it can be read in full before being trusted.</w:t>
      </w:r>
    </w:p>
    <w:p>
      <w:pPr>
        <w:spacing w:line="384" w:lineRule="auto" w:after="120"/>
        <w:jc w:val="both"/>
      </w:pPr>
      <w:r>
        <w:rPr>
          <w:rFonts w:ascii="Times New Roman" w:hAnsi="Times New Roman" w:eastAsia="Batang"/>
          <w:sz w:val="22"/>
        </w:rPr>
        <w:t xml:space="preserve">It preserves what breaks parsers: every DDL construct verbatim, every </w:t>
      </w:r>
      <w:r>
        <w:rPr>
          <w:rFonts w:ascii="Consolas" w:hAnsi="Consolas" w:eastAsia="Consolas"/>
          <w:sz w:val="18"/>
        </w:rPr>
        <w:t>COPY</w:t>
      </w:r>
      <w:r>
        <w:rPr>
          <w:rFonts w:ascii="Times New Roman" w:hAnsi="Times New Roman" w:eastAsia="Batang"/>
          <w:sz w:val="22"/>
        </w:rPr>
        <w:t xml:space="preserve"> header and column order, and per field the NULL-ness, the length and the character classes, so escapes, multi-byte characters and long values still occur where they did. It replaces every data byte with a value derived from the field's position under a per-run key, never from its content, so the output cannot be correlated back even by someone holding both files.</w:t>
      </w:r>
    </w:p>
    <w:p>
      <w:pPr>
        <w:spacing w:line="384" w:lineRule="auto" w:after="120"/>
        <w:jc w:val="both"/>
      </w:pPr>
      <w:r>
        <w:rPr>
          <w:rFonts w:ascii="Times New Roman" w:hAnsi="Times New Roman" w:eastAsia="Batang"/>
          <w:sz w:val="22"/>
        </w:rPr>
        <w:t xml:space="preserve">Dates, timestamps, numbers and booleans are regenerated as valid values of their kind rather than having their characters replaced. This matters: scrambling the digits of </w:t>
      </w:r>
      <w:r>
        <w:rPr>
          <w:rFonts w:ascii="Consolas" w:hAnsi="Consolas" w:eastAsia="Consolas"/>
          <w:sz w:val="18"/>
        </w:rPr>
        <w:t>2026-01-31</w:t>
      </w:r>
      <w:r>
        <w:rPr>
          <w:rFonts w:ascii="Times New Roman" w:hAnsi="Times New Roman" w:eastAsia="Batang"/>
          <w:sz w:val="22"/>
        </w:rPr>
        <w:t xml:space="preserve"> yields </w:t>
      </w:r>
      <w:r>
        <w:rPr>
          <w:rFonts w:ascii="Consolas" w:hAnsi="Consolas" w:eastAsia="Consolas"/>
          <w:sz w:val="18"/>
        </w:rPr>
        <w:t>2099-45-99</w:t>
      </w:r>
      <w:r>
        <w:rPr>
          <w:rFonts w:ascii="Times New Roman" w:hAnsi="Times New Roman" w:eastAsia="Batang"/>
          <w:sz w:val="22"/>
        </w:rPr>
        <w:t>, which is not a date, and a fixture that will not load tests nothing.</w:t>
      </w:r>
    </w:p>
    <w:p>
      <w:pPr>
        <w:spacing w:line="384" w:lineRule="auto" w:after="120"/>
        <w:jc w:val="both"/>
      </w:pPr>
      <w:r>
        <w:rPr>
          <w:rFonts w:ascii="Consolas" w:hAnsi="Consolas" w:eastAsia="Consolas"/>
          <w:sz w:val="18"/>
        </w:rPr>
        <w:t>--audit</w:t>
      </w:r>
      <w:r>
        <w:rPr>
          <w:rFonts w:ascii="Times New Roman" w:hAnsi="Times New Roman" w:eastAsia="Batang"/>
          <w:sz w:val="22"/>
        </w:rPr>
        <w:t xml:space="preserve"> re-reads both files afterwards and fails if any token of six or more characters from a data field survived. That catches the failure that matters, a value passed through untouched, but it cannot prove the result is safe. </w:t>
      </w:r>
      <w:r>
        <w:rPr>
          <w:rFonts w:ascii="Times New Roman" w:hAnsi="Times New Roman" w:eastAsia="Batang"/>
          <w:b/>
          <w:sz w:val="22"/>
        </w:rPr>
        <w:t>Read the output before sharing it.</w:t>
      </w:r>
    </w:p>
    <w:p>
      <w:pPr>
        <w:spacing w:line="384" w:lineRule="auto" w:after="120"/>
        <w:jc w:val="both"/>
      </w:pPr>
      <w:r>
        <w:rPr>
          <w:rFonts w:ascii="Times New Roman" w:hAnsi="Times New Roman" w:eastAsia="Batang"/>
          <w:sz w:val="22"/>
        </w:rPr>
        <w:t xml:space="preserve">Add </w:t>
      </w:r>
      <w:r>
        <w:rPr>
          <w:rFonts w:ascii="Consolas" w:hAnsi="Consolas" w:eastAsia="Consolas"/>
          <w:sz w:val="18"/>
        </w:rPr>
        <w:t>--rename-identifiers</w:t>
      </w:r>
      <w:r>
        <w:rPr>
          <w:rFonts w:ascii="Times New Roman" w:hAnsi="Times New Roman" w:eastAsia="Batang"/>
          <w:sz w:val="22"/>
        </w:rPr>
        <w:t xml:space="preserve"> if table and column names are themselves sensitive. It is off by default because a parser bug is often tied to the exact characters in a name, and renaming would hide the very thing being reported.</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Compare </w:t>
            </w:r>
            <w:r>
              <w:rPr>
                <w:rFonts w:ascii="Consolas" w:hAnsi="Consolas" w:eastAsia="Consolas"/>
                <w:sz w:val="18"/>
              </w:rPr>
              <w:t>report.tables</w:t>
            </w:r>
            <w:r>
              <w:rPr>
                <w:rFonts w:ascii="Times New Roman" w:hAnsi="Times New Roman" w:eastAsia="Batang"/>
                <w:sz w:val="22"/>
              </w:rPr>
              <w:t xml:space="preserve"> run over run. See Chapter VII, Section 3</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Consolas" w:hAnsi="Consolas" w:eastAsia="Consolas"/>
                <w:sz w:val="18"/>
              </w:rPr>
              <w:t>overwrite</w:t>
            </w:r>
            <w:r>
              <w:rPr>
                <w:rFonts w:ascii="Times New Roman" w:hAnsi="Times New Roman" w:eastAsia="Batang"/>
                <w:sz w:val="22"/>
              </w:rPr>
              <w:t xml:space="preserve"> treats the dump as the truth, so a dropped column is dropped</w:t>
            </w:r>
          </w:p>
        </w:tc>
        <w:tc>
          <w:tcPr>
            <w:tcW w:type="dxa" w:w="3135"/>
          </w:tcPr>
          <w:p>
            <w:r>
              <w:rPr>
                <w:rFonts w:ascii="Times New Roman" w:hAnsi="Times New Roman" w:eastAsia="Batang"/>
                <w:sz w:val="22"/>
              </w:rPr>
              <w:t>A downstream query referencing it breaks</w:t>
            </w:r>
          </w:p>
        </w:tc>
        <w:tc>
          <w:tcPr>
            <w:tcW w:type="dxa" w:w="3135"/>
          </w:tcPr>
          <w:p>
            <w:r>
              <w:rPr>
                <w:rFonts w:ascii="Times New Roman" w:hAnsi="Times New Roman" w:eastAsia="Batang"/>
                <w:sz w:val="22"/>
              </w:rPr>
              <w:t xml:space="preserve">Alert on </w:t>
            </w:r>
            <w:r>
              <w:rPr>
                <w:rFonts w:ascii="Consolas" w:hAnsi="Consolas" w:eastAsia="Consolas"/>
                <w:sz w:val="18"/>
              </w:rPr>
              <w:t>schema_drift</w:t>
            </w:r>
            <w:r>
              <w:rPr>
                <w:rFonts w:ascii="Times New Roman" w:hAnsi="Times New Roman" w:eastAsia="Batang"/>
                <w:sz w:val="22"/>
              </w:rPr>
              <w:t>; there is no merge mode</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is not reported</w:t>
            </w:r>
          </w:p>
        </w:tc>
        <w:tc>
          <w:tcPr>
            <w:tcW w:type="dxa" w:w="3135"/>
          </w:tcPr>
          <w:p>
            <w:r>
              <w:rPr>
                <w:rFonts w:ascii="Times New Roman" w:hAnsi="Times New Roman" w:eastAsia="Batang"/>
                <w:sz w:val="22"/>
              </w:rPr>
              <w:t>A silent typo loads nothing</w:t>
            </w:r>
          </w:p>
        </w:tc>
        <w:tc>
          <w:tcPr>
            <w:tcW w:type="dxa" w:w="3135"/>
          </w:tcPr>
          <w:p>
            <w:r>
              <w:rPr>
                <w:rFonts w:ascii="Times New Roman" w:hAnsi="Times New Roman" w:eastAsia="Batang"/>
                <w:sz w:val="22"/>
              </w:rPr>
              <w:t xml:space="preserve">Compare your list against </w:t>
            </w:r>
            <w:r>
              <w:rPr>
                <w:rFonts w:ascii="Consolas" w:hAnsi="Consolas" w:eastAsia="Consolas"/>
                <w:sz w:val="18"/>
              </w:rPr>
              <w:t>report.tables</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