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7. The load history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excluded_schemas=None,</w:t>
        <w:br/>
        <w:t xml:space="preserve">    wide_numeric_as_decimal=False,</w:t>
        <w:br/>
        <w:t xml:space="preserve">    native_arrays=False,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 xml:space="preserve">Local path, </w:t>
            </w:r>
            <w:r>
              <w:rPr>
                <w:rFonts w:ascii="Consolas" w:hAnsi="Consolas" w:eastAsia="Consolas"/>
                <w:sz w:val="18"/>
              </w:rPr>
              <w:t>file://</w:t>
            </w:r>
            <w:r>
              <w:rPr>
                <w:rFonts w:ascii="Times New Roman" w:hAnsi="Times New Roman" w:eastAsia="Batang"/>
                <w:sz w:val="22"/>
              </w:rPr>
              <w:t xml:space="preserve">, or an object: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az://</w:t>
            </w:r>
            <w:r>
              <w:rPr>
                <w:rFonts w:ascii="Times New Roman" w:hAnsi="Times New Roman" w:eastAsia="Batang"/>
                <w:sz w:val="22"/>
              </w:rPr>
              <w:t xml:space="preserve">,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Read directly, with resume. gzip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excluded_schemas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PostgreSQL schema (namespace) names to exclude entirely. See Chapter V, Section 2</w:t>
            </w:r>
          </w:p>
        </w:tc>
      </w:tr>
      <w:tr>
        <w:tc>
          <w:tcPr>
            <w:tcW w:type="dxa" w:w="2351"/>
          </w:tcPr>
          <w:p>
            <w:r>
              <w:rPr>
                <w:rFonts w:ascii="Consolas" w:hAnsi="Consolas" w:eastAsia="Consolas"/>
                <w:sz w:val="18"/>
              </w:rPr>
              <w:t>wide_numeric_as_decimal</w:t>
            </w:r>
          </w:p>
        </w:tc>
        <w:tc>
          <w:tcPr>
            <w:tcW w:type="dxa" w:w="2351"/>
          </w:tcPr>
          <w:p>
            <w:r>
              <w:rPr>
                <w:rFonts w:ascii="Consolas" w:hAnsi="Consolas" w:eastAsia="Consolas"/>
                <w:sz w:val="18"/>
              </w:rPr>
              <w:t>bool</w:t>
            </w:r>
          </w:p>
        </w:tc>
        <w:tc>
          <w:tcPr>
            <w:tcW w:type="dxa" w:w="2351"/>
          </w:tcPr>
          <w:p>
            <w:r>
              <w:rPr>
                <w:rFonts w:ascii="Consolas" w:hAnsi="Consolas" w:eastAsia="Consolas"/>
                <w:sz w:val="18"/>
              </w:rPr>
              <w:t>False</w:t>
            </w:r>
          </w:p>
        </w:tc>
        <w:tc>
          <w:tcPr>
            <w:tcW w:type="dxa" w:w="2351"/>
          </w:tcPr>
          <w:p>
            <w:r>
              <w:rPr>
                <w:rFonts w:ascii="Times New Roman" w:hAnsi="Times New Roman" w:eastAsia="Batang"/>
                <w:sz w:val="22"/>
              </w:rPr>
              <w:t xml:space="preserve">Map a too-wide </w:t>
            </w:r>
            <w:r>
              <w:rPr>
                <w:rFonts w:ascii="Consolas" w:hAnsi="Consolas" w:eastAsia="Consolas"/>
                <w:sz w:val="18"/>
              </w:rPr>
              <w:t>numeric</w:t>
            </w:r>
            <w:r>
              <w:rPr>
                <w:rFonts w:ascii="Times New Roman" w:hAnsi="Times New Roman" w:eastAsia="Batang"/>
                <w:sz w:val="22"/>
              </w:rPr>
              <w:t xml:space="preserve"> to </w:t>
            </w:r>
            <w:r>
              <w:rPr>
                <w:rFonts w:ascii="Consolas" w:hAnsi="Consolas" w:eastAsia="Consolas"/>
                <w:sz w:val="18"/>
              </w:rPr>
              <w:t>decimal(38,18)</w:t>
            </w:r>
            <w:r>
              <w:rPr>
                <w:rFonts w:ascii="Times New Roman" w:hAnsi="Times New Roman" w:eastAsia="Batang"/>
                <w:sz w:val="22"/>
              </w:rPr>
              <w:t xml:space="preserve"> instead of text. See Chapter V, Section 5</w:t>
            </w:r>
          </w:p>
        </w:tc>
      </w:tr>
      <w:tr>
        <w:tc>
          <w:tcPr>
            <w:tcW w:type="dxa" w:w="2351"/>
          </w:tcPr>
          <w:p>
            <w:r>
              <w:rPr>
                <w:rFonts w:ascii="Consolas" w:hAnsi="Consolas" w:eastAsia="Consolas"/>
                <w:sz w:val="18"/>
              </w:rPr>
              <w:t>native_arrays</w:t>
            </w:r>
          </w:p>
        </w:tc>
        <w:tc>
          <w:tcPr>
            <w:tcW w:type="dxa" w:w="2351"/>
          </w:tcPr>
          <w:p>
            <w:r>
              <w:rPr>
                <w:rFonts w:ascii="Consolas" w:hAnsi="Consolas" w:eastAsia="Consolas"/>
                <w:sz w:val="18"/>
              </w:rPr>
              <w:t>bool</w:t>
            </w:r>
          </w:p>
        </w:tc>
        <w:tc>
          <w:tcPr>
            <w:tcW w:type="dxa" w:w="2351"/>
          </w:tcPr>
          <w:p>
            <w:r>
              <w:rPr>
                <w:rFonts w:ascii="Consolas" w:hAnsi="Consolas" w:eastAsia="Consolas"/>
                <w:sz w:val="18"/>
              </w:rPr>
              <w:t>False</w:t>
            </w:r>
          </w:p>
        </w:tc>
        <w:tc>
          <w:tcPr>
            <w:tcW w:type="dxa" w:w="2351"/>
          </w:tcPr>
          <w:p>
            <w:r>
              <w:rPr>
                <w:rFonts w:ascii="Times New Roman" w:hAnsi="Times New Roman" w:eastAsia="Batang"/>
                <w:sz w:val="22"/>
              </w:rPr>
              <w:t>Map a one-dimensional array of a supported element type to a native Arrow list instead of text. See Chapter V, Section 5</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commit_concurrency</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Commits attempted at once in the final burst. </w:t>
            </w:r>
            <w:r>
              <w:rPr>
                <w:rFonts w:ascii="Consolas" w:hAnsi="Consolas" w:eastAsia="Consolas"/>
                <w:sz w:val="18"/>
              </w:rPr>
              <w:t>None</w:t>
            </w:r>
            <w:r>
              <w:rPr>
                <w:rFonts w:ascii="Times New Roman" w:hAnsi="Times New Roman" w:eastAsia="Batang"/>
                <w:sz w:val="22"/>
              </w:rPr>
              <w:t xml:space="preserve"> uses 16</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write_manifest</w:t>
            </w:r>
          </w:p>
        </w:tc>
        <w:tc>
          <w:tcPr>
            <w:tcW w:type="dxa" w:w="2351"/>
          </w:tcPr>
          <w:p>
            <w:r>
              <w:rPr>
                <w:rFonts w:ascii="Consolas" w:hAnsi="Consolas" w:eastAsia="Consolas"/>
                <w:sz w:val="18"/>
              </w:rPr>
              <w:t>bool</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True</w:t>
            </w:r>
          </w:p>
        </w:tc>
        <w:tc>
          <w:tcPr>
            <w:tcW w:type="dxa" w:w="2351"/>
          </w:tcPr>
          <w:p>
            <w:r>
              <w:rPr>
                <w:rFonts w:ascii="Times New Roman" w:hAnsi="Times New Roman" w:eastAsia="Batang"/>
                <w:sz w:val="22"/>
              </w:rPr>
              <w:t xml:space="preserve">Append this run to the load history at </w:t>
            </w:r>
            <w:r>
              <w:rPr>
                <w:rFonts w:ascii="Consolas" w:hAnsi="Consolas" w:eastAsia="Consolas"/>
                <w:sz w:val="18"/>
              </w:rPr>
              <w:t>&lt;output_uri&gt;/_pgdelta_loads</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commit_concurrency</w:t>
      </w:r>
      <w:r>
        <w:rPr>
          <w:rFonts w:ascii="Times New Roman" w:hAnsi="Times New Roman" w:eastAsia="Batang"/>
          <w:sz w:val="22"/>
        </w:rPr>
        <w:t xml:space="preserve"> measure different things and should not be set to the same number by reflex. </w:t>
      </w:r>
      <w:r>
        <w:rPr>
          <w:rFonts w:ascii="Consolas" w:hAnsi="Consolas" w:eastAsia="Consolas"/>
          <w:sz w:val="18"/>
        </w:rPr>
        <w:t>threads</w:t>
      </w:r>
      <w:r>
        <w:rPr>
          <w:rFonts w:ascii="Times New Roman" w:hAnsi="Times New Roman" w:eastAsia="Batang"/>
          <w:sz w:val="22"/>
        </w:rPr>
        <w:t xml:space="preserve"> is CPU work: decoding and Parquet encoding, bounded by cores. </w:t>
      </w:r>
      <w:r>
        <w:rPr>
          <w:rFonts w:ascii="Consolas" w:hAnsi="Consolas" w:eastAsia="Consolas"/>
          <w:sz w:val="18"/>
        </w:rPr>
        <w:t>commit_concurrency</w:t>
      </w:r>
      <w:r>
        <w:rPr>
          <w:rFonts w:ascii="Times New Roman" w:hAnsi="Times New Roman" w:eastAsia="Batang"/>
          <w:sz w:val="22"/>
        </w:rPr>
        <w:t xml:space="preserve"> is a small metadata write waiting on a storage round trip, bounded by latency, so a value well above the core count is correct. With hundreds of small tables the second is what decides whether the final burst takes seconds or minutes.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r>
        <w:tc>
          <w:tcPr>
            <w:tcW w:type="dxa" w:w="3135"/>
          </w:tcPr>
          <w:p>
            <w:r>
              <w:rPr>
                <w:rFonts w:ascii="Consolas" w:hAnsi="Consolas" w:eastAsia="Consolas"/>
                <w:sz w:val="18"/>
              </w:rPr>
              <w:t>load_id</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Identifies this run's rows in the load history. See Chapter III, Section 7</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The same is true of an array column </w:t>
      </w:r>
      <w:r>
        <w:rPr>
          <w:rFonts w:ascii="Consolas" w:hAnsi="Consolas" w:eastAsia="Consolas"/>
          <w:sz w:val="18"/>
        </w:rPr>
        <w:t>native_arrays</w:t>
      </w:r>
      <w:r>
        <w:rPr>
          <w:rFonts w:ascii="Times New Roman" w:hAnsi="Times New Roman" w:eastAsia="Batang"/>
          <w:sz w:val="22"/>
        </w:rPr>
        <w:t xml:space="preserve"> could not map natively. Both are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spacing w:line="384" w:lineRule="auto" w:after="120"/>
        <w:jc w:val="both"/>
      </w:pPr>
      <w:r>
        <w:rPr>
          <w:rFonts w:ascii="Consolas" w:hAnsi="Consolas" w:eastAsia="Consolas"/>
          <w:sz w:val="18"/>
        </w:rPr>
        <w:t>excluded_schemas</w:t>
      </w:r>
      <w:r>
        <w:rPr>
          <w:rFonts w:ascii="Times New Roman" w:hAnsi="Times New Roman" w:eastAsia="Batang"/>
          <w:sz w:val="22"/>
        </w:rPr>
        <w:t xml:space="preserve"> matches against the PostgreSQL schema (namespace) part of the name, for example </w:t>
      </w:r>
      <w:r>
        <w:rPr>
          <w:rFonts w:ascii="Consolas" w:hAnsi="Consolas" w:eastAsia="Consolas"/>
          <w:sz w:val="18"/>
        </w:rPr>
        <w:t>"audit"</w:t>
      </w:r>
      <w:r>
        <w:rPr>
          <w:rFonts w:ascii="Times New Roman" w:hAnsi="Times New Roman" w:eastAsia="Batang"/>
          <w:sz w:val="22"/>
        </w:rPr>
        <w:t xml:space="preserve"> in </w:t>
      </w:r>
      <w:r>
        <w:rPr>
          <w:rFonts w:ascii="Consolas" w:hAnsi="Consolas" w:eastAsia="Consolas"/>
          <w:sz w:val="18"/>
        </w:rPr>
        <w:t>"audit.log"</w:t>
      </w:r>
      <w:r>
        <w:rPr>
          <w:rFonts w:ascii="Times New Roman" w:hAnsi="Times New Roman" w:eastAsia="Batang"/>
          <w:sz w:val="22"/>
        </w:rPr>
        <w:t xml:space="preserve">. It goes one step further than </w:t>
      </w:r>
      <w:r>
        <w:rPr>
          <w:rFonts w:ascii="Consolas" w:hAnsi="Consolas" w:eastAsia="Consolas"/>
          <w:sz w:val="18"/>
        </w:rPr>
        <w:t>tables</w:t>
      </w:r>
      <w:r>
        <w:rPr>
          <w:rFonts w:ascii="Times New Roman" w:hAnsi="Times New Roman" w:eastAsia="Batang"/>
          <w:sz w:val="22"/>
        </w:rPr>
        <w:t xml:space="preserve">: an excluded table's </w:t>
      </w:r>
      <w:r>
        <w:rPr>
          <w:rFonts w:ascii="Consolas" w:hAnsi="Consolas" w:eastAsia="Consolas"/>
          <w:sz w:val="18"/>
        </w:rPr>
        <w:t>CREATE TABLE</w:t>
      </w:r>
      <w:r>
        <w:rPr>
          <w:rFonts w:ascii="Times New Roman" w:hAnsi="Times New Roman" w:eastAsia="Batang"/>
          <w:sz w:val="22"/>
        </w:rPr>
        <w:t xml:space="preserve"> is not just left unloaded, it is never fully parsed. The scanner reads only as far as the table's qualified name, then skips forward to the statement's end without parsing a single column. Practically, this means a DDL construct in a schema you never wanted, that this library's hand-rolled parser cannot handle, cannot fail the load; had that table instead only been left out of </w:t>
      </w:r>
      <w:r>
        <w:rPr>
          <w:rFonts w:ascii="Consolas" w:hAnsi="Consolas" w:eastAsia="Consolas"/>
          <w:sz w:val="18"/>
        </w:rPr>
        <w:t>tables</w:t>
      </w:r>
      <w:r>
        <w:rPr>
          <w:rFonts w:ascii="Times New Roman" w:hAnsi="Times New Roman" w:eastAsia="Batang"/>
          <w:sz w:val="22"/>
        </w:rPr>
        <w:t>, its DDL would still have been parsed in full and any parse failure there would still fail the whole load, because the scanner cannot know in advance which tables the caller wants.</w:t>
      </w:r>
    </w:p>
    <w:p>
      <w:pPr>
        <w:spacing w:line="384" w:lineRule="auto" w:after="120"/>
        <w:jc w:val="both"/>
      </w:pPr>
      <w:r>
        <w:rPr>
          <w:rFonts w:ascii="Times New Roman" w:hAnsi="Times New Roman" w:eastAsia="Batang"/>
          <w:sz w:val="22"/>
        </w:rPr>
        <w:t xml:space="preserve">A table named in </w:t>
      </w:r>
      <w:r>
        <w:rPr>
          <w:rFonts w:ascii="Consolas" w:hAnsi="Consolas" w:eastAsia="Consolas"/>
          <w:sz w:val="18"/>
        </w:rPr>
        <w:t>tables</w:t>
      </w:r>
      <w:r>
        <w:rPr>
          <w:rFonts w:ascii="Times New Roman" w:hAnsi="Times New Roman" w:eastAsia="Batang"/>
          <w:sz w:val="22"/>
        </w:rPr>
        <w:t xml:space="preserve"> but sitting in a schema named in </w:t>
      </w:r>
      <w:r>
        <w:rPr>
          <w:rFonts w:ascii="Consolas" w:hAnsi="Consolas" w:eastAsia="Consolas"/>
          <w:sz w:val="18"/>
        </w:rPr>
        <w:t>excluded_schemas</w:t>
      </w:r>
      <w:r>
        <w:rPr>
          <w:rFonts w:ascii="Times New Roman" w:hAnsi="Times New Roman" w:eastAsia="Batang"/>
          <w:sz w:val="22"/>
        </w:rPr>
        <w:t xml:space="preserve"> is excluded: the schema exclusion is the stronger, more specific statement of intent and wins.</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Consolas" w:hAnsi="Consolas" w:eastAsia="Consolas"/>
          <w:sz w:val="18"/>
        </w:rPr>
        <w:t>wide_numeric_as_decimal</w:t>
      </w:r>
      <w:r>
        <w:rPr>
          <w:rFonts w:ascii="Times New Roman" w:hAnsi="Times New Roman" w:eastAsia="Batang"/>
          <w:sz w:val="22"/>
        </w:rPr>
        <w:t xml:space="preserve"> moves a </w:t>
      </w:r>
      <w:r>
        <w:rPr>
          <w:rFonts w:ascii="Consolas" w:hAnsi="Consolas" w:eastAsia="Consolas"/>
          <w:sz w:val="18"/>
        </w:rPr>
        <w:t>numeric</w:t>
      </w:r>
      <w:r>
        <w:rPr>
          <w:rFonts w:ascii="Times New Roman" w:hAnsi="Times New Roman" w:eastAsia="Batang"/>
          <w:sz w:val="22"/>
        </w:rPr>
        <w:t xml:space="preserve"> with no natural bound (unconstrained, or a declared precision over 38) from that first bucket into something closer to the second. Off, which is the default, it is type uncertainty: the column degrades to </w:t>
      </w:r>
      <w:r>
        <w:rPr>
          <w:rFonts w:ascii="Consolas" w:hAnsi="Consolas" w:eastAsia="Consolas"/>
          <w:sz w:val="18"/>
        </w:rPr>
        <w:t>Utf8</w:t>
      </w:r>
      <w:r>
        <w:rPr>
          <w:rFonts w:ascii="Times New Roman" w:hAnsi="Times New Roman" w:eastAsia="Batang"/>
          <w:sz w:val="22"/>
        </w:rPr>
        <w:t xml:space="preserve"> and the load proceeds. On, the column is mapped to </w:t>
      </w:r>
      <w:r>
        <w:rPr>
          <w:rFonts w:ascii="Consolas" w:hAnsi="Consolas" w:eastAsia="Consolas"/>
          <w:sz w:val="18"/>
        </w:rPr>
        <w:t>decimal(38,18)</w:t>
      </w:r>
      <w:r>
        <w:rPr>
          <w:rFonts w:ascii="Times New Roman" w:hAnsi="Times New Roman" w:eastAsia="Batang"/>
          <w:sz w:val="22"/>
        </w:rPr>
        <w:t xml:space="preserve"> instead, and from that point a value too wide for it (more than 20 integer digits, or more than 18 significant fractional ones) is a structural disagreement with the type this column now has, and fails the load rather than being silently truncated or wrapped. A </w:t>
      </w:r>
      <w:r>
        <w:rPr>
          <w:rFonts w:ascii="Consolas" w:hAnsi="Consolas" w:eastAsia="Consolas"/>
          <w:sz w:val="18"/>
        </w:rPr>
        <w:t>numeric(p,s)</w:t>
      </w:r>
      <w:r>
        <w:rPr>
          <w:rFonts w:ascii="Times New Roman" w:hAnsi="Times New Roman" w:eastAsia="Batang"/>
          <w:sz w:val="22"/>
        </w:rPr>
        <w:t xml:space="preserve"> with </w:t>
      </w:r>
      <w:r>
        <w:rPr>
          <w:rFonts w:ascii="Consolas" w:hAnsi="Consolas" w:eastAsia="Consolas"/>
          <w:sz w:val="18"/>
        </w:rPr>
        <w:t>p &lt;= 38</w:t>
      </w:r>
      <w:r>
        <w:rPr>
          <w:rFonts w:ascii="Times New Roman" w:hAnsi="Times New Roman" w:eastAsia="Batang"/>
          <w:sz w:val="22"/>
        </w:rPr>
        <w:t xml:space="preserve"> whose </w:t>
      </w:r>
      <w:r>
        <w:rPr>
          <w:rFonts w:ascii="Times New Roman" w:hAnsi="Times New Roman" w:eastAsia="Batang"/>
          <w:i/>
          <w:sz w:val="22"/>
        </w:rPr>
        <w:t>scale</w:t>
      </w:r>
      <w:r>
        <w:rPr>
          <w:rFonts w:ascii="Times New Roman" w:hAnsi="Times New Roman" w:eastAsia="Batang"/>
          <w:sz w:val="22"/>
        </w:rPr>
        <w:t xml:space="preserve"> Arrow cannot represent (negative, or exceeding </w:t>
      </w:r>
      <w:r>
        <w:rPr>
          <w:rFonts w:ascii="Consolas" w:hAnsi="Consolas" w:eastAsia="Consolas"/>
          <w:sz w:val="18"/>
        </w:rPr>
        <w:t>p</w:t>
      </w:r>
      <w:r>
        <w:rPr>
          <w:rFonts w:ascii="Times New Roman" w:hAnsi="Times New Roman" w:eastAsia="Batang"/>
          <w:sz w:val="22"/>
        </w:rPr>
        <w:t xml:space="preserve">) is a different, narrower declaration problem and keeps degrading to </w:t>
      </w:r>
      <w:r>
        <w:rPr>
          <w:rFonts w:ascii="Consolas" w:hAnsi="Consolas" w:eastAsia="Consolas"/>
          <w:sz w:val="18"/>
        </w:rPr>
        <w:t>Utf8</w:t>
      </w:r>
      <w:r>
        <w:rPr>
          <w:rFonts w:ascii="Times New Roman" w:hAnsi="Times New Roman" w:eastAsia="Batang"/>
          <w:sz w:val="22"/>
        </w:rPr>
        <w:t xml:space="preserve"> regardless of this flag.</w:t>
      </w:r>
    </w:p>
    <w:p>
      <w:pPr>
        <w:spacing w:line="384" w:lineRule="auto" w:after="120"/>
        <w:jc w:val="both"/>
      </w:pPr>
      <w:r>
        <w:rPr>
          <w:rFonts w:ascii="Consolas" w:hAnsi="Consolas" w:eastAsia="Consolas"/>
          <w:sz w:val="18"/>
        </w:rPr>
        <w:t>native_arrays</w:t>
      </w:r>
      <w:r>
        <w:rPr>
          <w:rFonts w:ascii="Times New Roman" w:hAnsi="Times New Roman" w:eastAsia="Batang"/>
          <w:sz w:val="22"/>
        </w:rPr>
        <w:t xml:space="preserve"> does the same for a one-dimensional array, mapping it to a native Arrow list instead of keeping it as PostgreSQL's own </w:t>
      </w:r>
      <w:r>
        <w:rPr>
          <w:rFonts w:ascii="Consolas" w:hAnsi="Consolas" w:eastAsia="Consolas"/>
          <w:sz w:val="18"/>
        </w:rPr>
        <w:t>{...}</w:t>
      </w:r>
      <w:r>
        <w:rPr>
          <w:rFonts w:ascii="Times New Roman" w:hAnsi="Times New Roman" w:eastAsia="Batang"/>
          <w:sz w:val="22"/>
        </w:rPr>
        <w:t xml:space="preserve"> literal text. It only ever moves a column </w:t>
      </w:r>
      <w:r>
        <w:rPr>
          <w:rFonts w:ascii="Times New Roman" w:hAnsi="Times New Roman" w:eastAsia="Batang"/>
          <w:i/>
          <w:sz w:val="22"/>
        </w:rPr>
        <w:t>toward</w:t>
      </w:r>
      <w:r>
        <w:rPr>
          <w:rFonts w:ascii="Times New Roman" w:hAnsi="Times New Roman" w:eastAsia="Batang"/>
          <w:sz w:val="22"/>
        </w:rPr>
        <w:t xml:space="preserve"> a native type, never toward failure: an array whose element type this library cannot represent (a multi-dimensional declaration, an unrecognised element type, or a </w:t>
      </w:r>
      <w:r>
        <w:rPr>
          <w:rFonts w:ascii="Consolas" w:hAnsi="Consolas" w:eastAsia="Consolas"/>
          <w:sz w:val="18"/>
        </w:rPr>
        <w:t>numeric</w:t>
      </w:r>
      <w:r>
        <w:rPr>
          <w:rFonts w:ascii="Times New Roman" w:hAnsi="Times New Roman" w:eastAsia="Batang"/>
          <w:sz w:val="22"/>
        </w:rPr>
        <w:t xml:space="preserve"> element that does not fit even </w:t>
      </w:r>
      <w:r>
        <w:rPr>
          <w:rFonts w:ascii="Consolas" w:hAnsi="Consolas" w:eastAsia="Consolas"/>
          <w:sz w:val="18"/>
        </w:rPr>
        <w:t>wide_numeric_as_decimal</w:t>
      </w:r>
      <w:r>
        <w:rPr>
          <w:rFonts w:ascii="Times New Roman" w:hAnsi="Times New Roman" w:eastAsia="Batang"/>
          <w:sz w:val="22"/>
        </w:rPr>
        <w:t xml:space="preserve">) simply keeps degrading to </w:t>
      </w:r>
      <w:r>
        <w:rPr>
          <w:rFonts w:ascii="Consolas" w:hAnsi="Consolas" w:eastAsia="Consolas"/>
          <w:sz w:val="18"/>
        </w:rPr>
        <w:t>Utf8</w:t>
      </w:r>
      <w:r>
        <w:rPr>
          <w:rFonts w:ascii="Times New Roman" w:hAnsi="Times New Roman" w:eastAsia="Batang"/>
          <w:sz w:val="22"/>
        </w:rPr>
        <w:t xml:space="preserve">, decided once when the column's type is resolved rather than per value. A </w:t>
      </w:r>
      <w:r>
        <w:rPr>
          <w:rFonts w:ascii="Consolas" w:hAnsi="Consolas" w:eastAsia="Consolas"/>
          <w:sz w:val="18"/>
        </w:rPr>
        <w:t>numeric</w:t>
      </w:r>
      <w:r>
        <w:rPr>
          <w:rFonts w:ascii="Times New Roman" w:hAnsi="Times New Roman" w:eastAsia="Batang"/>
          <w:sz w:val="22"/>
        </w:rPr>
        <w:t xml:space="preserve"> element is subject to </w:t>
      </w:r>
      <w:r>
        <w:rPr>
          <w:rFonts w:ascii="Consolas" w:hAnsi="Consolas" w:eastAsia="Consolas"/>
          <w:sz w:val="18"/>
        </w:rPr>
        <w:t>wide_numeric_as_decimal</w:t>
      </w:r>
      <w:r>
        <w:rPr>
          <w:rFonts w:ascii="Times New Roman" w:hAnsi="Times New Roman" w:eastAsia="Batang"/>
          <w:sz w:val="22"/>
        </w:rPr>
        <w:t xml:space="preserve"> exactly as a plain </w:t>
      </w:r>
      <w:r>
        <w:rPr>
          <w:rFonts w:ascii="Consolas" w:hAnsi="Consolas" w:eastAsia="Consolas"/>
          <w:sz w:val="18"/>
        </w:rPr>
        <w:t>numeric</w:t>
      </w:r>
      <w:r>
        <w:rPr>
          <w:rFonts w:ascii="Times New Roman" w:hAnsi="Times New Roman" w:eastAsia="Batang"/>
          <w:sz w:val="22"/>
        </w:rPr>
        <w:t xml:space="preserve"> column would be, including the overflow behaviour above, applied per element.</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Pr>
        <w:pStyle w:val="Heading2"/>
      </w:pPr>
      <w:r>
        <w:rPr>
          <w:rFonts w:ascii="Times New Roman" w:hAnsi="Times New Roman" w:eastAsia="Batang"/>
          <w:b/>
          <w:color w:val="000000"/>
          <w:sz w:val="24"/>
        </w:rPr>
        <w:t>7. The load history</w:t>
      </w:r>
    </w:p>
    <w:p>
      <w:pPr>
        <w:spacing w:line="384" w:lineRule="auto" w:after="120"/>
        <w:jc w:val="both"/>
      </w:pPr>
      <w:r>
        <w:rPr>
          <w:rFonts w:ascii="Times New Roman" w:hAnsi="Times New Roman" w:eastAsia="Batang"/>
          <w:sz w:val="22"/>
        </w:rPr>
        <w:t xml:space="preserve">Every run appends one row per table to a Delta table at </w:t>
      </w:r>
      <w:r>
        <w:rPr>
          <w:rFonts w:ascii="Consolas" w:hAnsi="Consolas" w:eastAsia="Consolas"/>
          <w:sz w:val="18"/>
        </w:rPr>
        <w:t>&lt;output_uri&gt;/_pgdelta_loads</w:t>
      </w:r>
      <w:r>
        <w:rPr>
          <w:rFonts w:ascii="Times New Roman" w:hAnsi="Times New Roman" w:eastAsia="Batang"/>
          <w:sz w:val="22"/>
        </w:rPr>
        <w:t xml:space="preserve">, unless </w:t>
      </w:r>
      <w:r>
        <w:rPr>
          <w:rFonts w:ascii="Consolas" w:hAnsi="Consolas" w:eastAsia="Consolas"/>
          <w:sz w:val="18"/>
        </w:rPr>
        <w:t>write_manifest=False</w:t>
      </w:r>
      <w:r>
        <w:rPr>
          <w:rFonts w:ascii="Times New Roman" w:hAnsi="Times New Roman" w:eastAsia="Batang"/>
          <w:sz w:val="22"/>
        </w:rPr>
        <w:t xml:space="preserve">. </w:t>
      </w:r>
      <w:r>
        <w:rPr>
          <w:rFonts w:ascii="Consolas" w:hAnsi="Consolas" w:eastAsia="Consolas"/>
          <w:sz w:val="18"/>
        </w:rPr>
        <w:t>report.load_id</w:t>
      </w:r>
      <w:r>
        <w:rPr>
          <w:rFonts w:ascii="Times New Roman" w:hAnsi="Times New Roman" w:eastAsia="Batang"/>
          <w:sz w:val="22"/>
        </w:rPr>
        <w:t xml:space="preserve"> identifies the run's rows.</w:t>
      </w:r>
    </w:p>
    <w:p>
      <w:pPr>
        <w:spacing w:line="384" w:lineRule="auto" w:after="120"/>
        <w:jc w:val="both"/>
      </w:pPr>
      <w:r>
        <w:rPr>
          <w:rFonts w:ascii="Times New Roman" w:hAnsi="Times New Roman" w:eastAsia="Batang"/>
          <w:sz w:val="22"/>
        </w:rPr>
        <w:t xml:space="preserve">The row records the </w:t>
      </w:r>
      <w:r>
        <w:rPr>
          <w:rFonts w:ascii="Times New Roman" w:hAnsi="Times New Roman" w:eastAsia="Batang"/>
          <w:b/>
          <w:sz w:val="22"/>
        </w:rPr>
        <w:t>Delta version each table reached</w:t>
      </w:r>
      <w:r>
        <w:rPr>
          <w:rFonts w:ascii="Times New Roman" w:hAnsi="Times New Roman" w:eastAsia="Batang"/>
          <w:sz w:val="22"/>
        </w:rPr>
        <w:t>, and that is the point. Delta has no cross-table transaction, so a set of tables cannot be committed atomically. What the history gives is the ability to reconstruct one run afterwards:</w:t>
      </w:r>
    </w:p>
    <w:p>
      <w:pPr>
        <w:spacing w:line="240" w:lineRule="auto" w:before="120" w:after="120"/>
        <w:ind w:left="454"/>
      </w:pPr>
      <w:r>
        <w:rPr>
          <w:rFonts w:ascii="Consolas" w:hAnsi="Consolas" w:eastAsia="Consolas"/>
          <w:sz w:val="18"/>
        </w:rPr>
        <w:t>versions = spark.sql(pgdelta.catalog.snapshot_sql(output_uri, report.load_id))</w:t>
        <w:br/>
        <w:t>for row in versions.collect():</w:t>
        <w:br/>
        <w:t xml:space="preserve">    path = f"{output_uri.rstrip('/')}/{row['table'].replace('.', '/')}"</w:t>
        <w:br/>
        <w:t xml:space="preserve">    df = spark.read.format("delta").option("versionAsOf", row["delta_version"]).load(path)</w:t>
      </w:r>
    </w:p>
    <w:p>
      <w:pPr>
        <w:spacing w:line="384" w:lineRule="auto" w:after="120"/>
        <w:jc w:val="both"/>
      </w:pPr>
      <w:r>
        <w:rPr>
          <w:rFonts w:ascii="Times New Roman" w:hAnsi="Times New Roman" w:eastAsia="Batang"/>
          <w:sz w:val="22"/>
        </w:rPr>
        <w:t>Every table read at its recorded version is by construction the set that run produced, whatever has happened since. Consistency is recovered after the fact rather than enforced at write time, which is the only thing Delta permits.</w:t>
      </w:r>
    </w:p>
    <w:p>
      <w:pPr>
        <w:spacing w:line="384" w:lineRule="auto" w:after="120"/>
        <w:jc w:val="both"/>
      </w:pPr>
      <w:r>
        <w:rPr>
          <w:rFonts w:ascii="Times New Roman" w:hAnsi="Times New Roman" w:eastAsia="Batang"/>
          <w:sz w:val="22"/>
        </w:rPr>
        <w:t xml:space="preserve">A table that was expected and did not arrive gets a row too, with </w:t>
      </w:r>
      <w:r>
        <w:rPr>
          <w:rFonts w:ascii="Consolas" w:hAnsi="Consolas" w:eastAsia="Consolas"/>
          <w:sz w:val="18"/>
        </w:rPr>
        <w:t>status = 'missing'</w:t>
      </w:r>
      <w:r>
        <w:rPr>
          <w:rFonts w:ascii="Times New Roman" w:hAnsi="Times New Roman" w:eastAsia="Batang"/>
          <w:sz w:val="22"/>
        </w:rPr>
        <w:t xml:space="preserve"> and no version. That is deliberate: it is the most consequential thing that can happen to a feed, and a history that simply omitted it would be misleading.</w:t>
      </w:r>
    </w:p>
    <w:p>
      <w:pPr>
        <w:spacing w:line="384" w:lineRule="auto" w:after="120"/>
        <w:jc w:val="both"/>
      </w:pPr>
      <w:r>
        <w:rPr>
          <w:rFonts w:ascii="Times New Roman" w:hAnsi="Times New Roman" w:eastAsia="Batang"/>
          <w:sz w:val="22"/>
        </w:rPr>
        <w:t xml:space="preserve">Two limits worth stating plainly. Time travel only works while the files survive, so once </w:t>
      </w:r>
      <w:r>
        <w:rPr>
          <w:rFonts w:ascii="Consolas" w:hAnsi="Consolas" w:eastAsia="Consolas"/>
          <w:sz w:val="18"/>
        </w:rPr>
        <w:t>VACUUM</w:t>
      </w:r>
      <w:r>
        <w:rPr>
          <w:rFonts w:ascii="Times New Roman" w:hAnsi="Times New Roman" w:eastAsia="Batang"/>
          <w:sz w:val="22"/>
        </w:rPr>
        <w:t xml:space="preserve"> passes its retention window an older load stops being readable. And this is a record, not a lock: nothing stops a later run from overwriting a table whose version the history still names.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excluded_schemas</w:t>
            </w:r>
          </w:p>
        </w:tc>
        <w:tc>
          <w:tcPr>
            <w:tcW w:type="dxa" w:w="4702"/>
          </w:tcPr>
          <w:p>
            <w:r>
              <w:rPr>
                <w:rFonts w:ascii="Times New Roman" w:hAnsi="Times New Roman" w:eastAsia="Batang"/>
                <w:sz w:val="22"/>
              </w:rPr>
              <w:t>You never want an entire schema, especially one whose DDL this library might not parse</w:t>
            </w:r>
          </w:p>
        </w:tc>
      </w:tr>
      <w:tr>
        <w:tc>
          <w:tcPr>
            <w:tcW w:type="dxa" w:w="4702"/>
          </w:tcPr>
          <w:p>
            <w:r>
              <w:rPr>
                <w:rFonts w:ascii="Consolas" w:hAnsi="Consolas" w:eastAsia="Consolas"/>
                <w:sz w:val="18"/>
              </w:rPr>
              <w:t>wide_numeric_as_decimal</w:t>
            </w:r>
          </w:p>
        </w:tc>
        <w:tc>
          <w:tcPr>
            <w:tcW w:type="dxa" w:w="4702"/>
          </w:tcPr>
          <w:p>
            <w:r>
              <w:rPr>
                <w:rFonts w:ascii="Times New Roman" w:hAnsi="Times New Roman" w:eastAsia="Batang"/>
                <w:sz w:val="22"/>
              </w:rPr>
              <w:t xml:space="preserve">The target is Databricks and an unconstrained </w:t>
            </w:r>
            <w:r>
              <w:rPr>
                <w:rFonts w:ascii="Consolas" w:hAnsi="Consolas" w:eastAsia="Consolas"/>
                <w:sz w:val="18"/>
              </w:rPr>
              <w:t>numeric</w:t>
            </w:r>
            <w:r>
              <w:rPr>
                <w:rFonts w:ascii="Times New Roman" w:hAnsi="Times New Roman" w:eastAsia="Batang"/>
                <w:sz w:val="22"/>
              </w:rPr>
              <w:t xml:space="preserve"> should be a real decimal, not text</w:t>
            </w:r>
          </w:p>
        </w:tc>
      </w:tr>
      <w:tr>
        <w:tc>
          <w:tcPr>
            <w:tcW w:type="dxa" w:w="4702"/>
          </w:tcPr>
          <w:p>
            <w:r>
              <w:rPr>
                <w:rFonts w:ascii="Consolas" w:hAnsi="Consolas" w:eastAsia="Consolas"/>
                <w:sz w:val="18"/>
              </w:rPr>
              <w:t>native_arrays</w:t>
            </w:r>
          </w:p>
        </w:tc>
        <w:tc>
          <w:tcPr>
            <w:tcW w:type="dxa" w:w="4702"/>
          </w:tcPr>
          <w:p>
            <w:r>
              <w:rPr>
                <w:rFonts w:ascii="Times New Roman" w:hAnsi="Times New Roman" w:eastAsia="Batang"/>
                <w:sz w:val="22"/>
              </w:rPr>
              <w:t>The target is Databricks and a PostgreSQL array should be a real Arrow list, not text</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