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three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and </w:t>
      </w:r>
      <w:r>
        <w:rPr>
          <w:rFonts w:ascii="Consolas" w:hAnsi="Consolas" w:eastAsia="Consolas"/>
          <w:sz w:val="18"/>
        </w:rPr>
        <w:t>TableStats</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 xml:space="preserve">The dump is read once, front to back. Every table's Parquet is written and staged during that pass, and nothing becomes visible to a Delta reader until the pass completes without error, at which point every table is committed. This is the all-or-nothing property described in </w:t>
      </w:r>
      <w:r>
        <w:rPr>
          <w:rFonts w:ascii="Consolas" w:hAnsi="Consolas" w:eastAsia="Consolas"/>
          <w:sz w:val="18"/>
        </w:rPr>
        <w:t>architecture.md</w:t>
      </w:r>
      <w:r>
        <w:rPr>
          <w:rFonts w:ascii="Times New Roman" w:hAnsi="Times New Roman" w:eastAsia="Batang"/>
          <w:sz w:val="22"/>
        </w:rPr>
        <w:t>, Chapter VI, Section 1. Any failure leaves orphaned files and no visible change to any table.</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Path to the plain-text dump. gzip is detected and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nothing has been committed.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It is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