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Because the source is a delivered file rather than a spawned process, this module contains no subprocess handling, no credentials, and no connection strings.</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outside that range</w:t>
            </w:r>
          </w:p>
        </w:tc>
        <w:tc>
          <w:tcPr>
            <w:tcW w:type="dxa" w:w="4702"/>
          </w:tcPr>
          <w:p>
            <w:r>
              <w:rPr>
                <w:rFonts w:ascii="Consolas" w:hAnsi="Consolas" w:eastAsia="Consolas"/>
                <w:sz w:val="18"/>
              </w:rPr>
              <w:t>Utf8</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None)</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pStyle w:val="Heading2"/>
      </w:pPr>
      <w:r>
        <w:rPr>
          <w:rFonts w:ascii="Times New Roman" w:hAnsi="Times New Roman" w:eastAsia="Batang"/>
          <w:b/>
          <w:color w:val="000000"/>
          <w:sz w:val="24"/>
        </w:rPr>
        <w:t>3.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