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the system as built. </w:t>
      </w:r>
      <w:r>
        <w:rPr>
          <w:rFonts w:ascii="Times New Roman" w:hAnsi="Times New Roman" w:eastAsia="Batang"/>
          <w:b/>
          <w:sz w:val="22"/>
        </w:rPr>
        <w:t>Audience</w:t>
      </w:r>
      <w:r>
        <w:rPr>
          <w:rFonts w:ascii="Times New Roman" w:hAnsi="Times New Roman" w:eastAsia="Batang"/>
          <w:sz w:val="22"/>
        </w:rPr>
        <w:t xml:space="preserve"> Whoever runs the daily load and is paged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Where output may be written</w:t>
      </w:r>
    </w:p>
    <w:p>
      <w:pPr>
        <w:pStyle w:val="ListBullet"/>
        <w:spacing w:line="384" w:lineRule="auto" w:after="120"/>
      </w:pPr>
      <w:r>
        <w:rPr>
          <w:rFonts w:ascii="Times New Roman" w:hAnsi="Times New Roman" w:eastAsia="Batang"/>
          <w:sz w:val="22"/>
        </w:rPr>
        <w:t>4. The compatibility floor</w:t>
      </w:r>
    </w:p>
    <w:p>
      <w:pPr>
        <w:pStyle w:val="ListBullet"/>
        <w:spacing w:line="384" w:lineRule="auto" w:after="120"/>
      </w:pPr>
      <w:r>
        <w:rPr>
          <w:rFonts w:ascii="Times New Roman" w:hAnsi="Times New Roman" w:eastAsia="Batang"/>
          <w:sz w:val="22"/>
        </w:rPr>
        <w:t>III.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 and threads</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5. Choosing a driver</w:t>
      </w:r>
    </w:p>
    <w:p>
      <w:pPr>
        <w:pStyle w:val="ListBullet"/>
        <w:spacing w:line="384" w:lineRule="auto" w:after="120"/>
      </w:pPr>
      <w:r>
        <w:rPr>
          <w:rFonts w:ascii="Times New Roman" w:hAnsi="Times New Roman" w:eastAsia="Batang"/>
          <w:sz w:val="22"/>
        </w:rPr>
        <w:t>IV.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 a failed load</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Failures that need the sender</w:t>
      </w:r>
    </w:p>
    <w:p>
      <w:pPr>
        <w:pStyle w:val="ListBullet"/>
        <w:spacing w:line="384" w:lineRule="auto" w:after="120"/>
      </w:pPr>
      <w:r>
        <w:rPr>
          <w:rFonts w:ascii="Times New Roman" w:hAnsi="Times New Roman" w:eastAsia="Batang"/>
          <w:sz w:val="22"/>
        </w:rPr>
        <w:t>VI.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A new PostgreSQL major</w:t>
      </w:r>
    </w:p>
    <w:p>
      <w:pPr>
        <w:pStyle w:val="ListBullet"/>
        <w:spacing w:line="384" w:lineRule="auto" w:after="120"/>
      </w:pPr>
      <w:r>
        <w:rPr>
          <w:rFonts w:ascii="Times New Roman" w:hAnsi="Times New Roman" w:eastAsia="Batang"/>
          <w:sz w:val="22"/>
        </w:rPr>
        <w:t>2. Schema drift</w:t>
      </w:r>
    </w:p>
    <w:p>
      <w:pPr>
        <w:pStyle w:val="ListBullet"/>
        <w:spacing w:line="384" w:lineRule="auto" w:after="120"/>
      </w:pPr>
      <w:r>
        <w:rPr>
          <w:rFonts w:ascii="Times New Roman" w:hAnsi="Times New Roman" w:eastAsia="Batang"/>
          <w:sz w:val="22"/>
        </w:rPr>
        <w:t>3. A table that disappears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Output location options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Measured stage throughput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Indicative runtimes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first action</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Values worth recording per run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State after a failed 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w:t>
      </w:r>
      <w:r>
        <w:rPr>
          <w:rFonts w:ascii="Consolas" w:hAnsi="Consolas" w:eastAsia="Consolas"/>
          <w:sz w:val="18"/>
        </w:rPr>
        <w:t>pgdelta</w:t>
      </w:r>
      <w:r>
        <w:rPr>
          <w:rFonts w:ascii="Times New Roman" w:hAnsi="Times New Roman" w:eastAsia="Batang"/>
          <w:sz w:val="22"/>
        </w:rPr>
        <w:t xml:space="preserve"> in production: how to deploy it, how to size the machine, what maintenance it requires, and what to do when it fails. It assumes the architecture is not of interest until something goes wrong.</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 xml:space="preserve">The system this was built for receives one plain-text </w:t>
      </w:r>
      <w:r>
        <w:rPr>
          <w:rFonts w:ascii="Consolas" w:hAnsi="Consolas" w:eastAsia="Consolas"/>
          <w:sz w:val="18"/>
        </w:rPr>
        <w:t>pg_dump</w:t>
      </w:r>
      <w:r>
        <w:rPr>
          <w:rFonts w:ascii="Times New Roman" w:hAnsi="Times New Roman" w:eastAsia="Batang"/>
          <w:sz w:val="22"/>
        </w:rPr>
        <w:t xml:space="preserve"> per day from a third party. As measured in September 2026:</w:t>
      </w:r>
    </w:p>
    <w:p>
      <w:pPr>
        <w:pStyle w:val="ListBullet"/>
        <w:spacing w:line="384" w:lineRule="auto" w:after="120"/>
      </w:pPr>
      <w:r>
        <w:rPr>
          <w:rFonts w:ascii="Times New Roman" w:hAnsi="Times New Roman" w:eastAsia="Batang"/>
          <w:sz w:val="22"/>
        </w:rPr>
        <w:t>Roughly 48 GB, uncompressed, and growing.</w:t>
      </w:r>
    </w:p>
    <w:p>
      <w:pPr>
        <w:pStyle w:val="ListBullet"/>
        <w:spacing w:line="384" w:lineRule="auto" w:after="120"/>
      </w:pPr>
      <w:r>
        <w:rPr>
          <w:rFonts w:ascii="Times New Roman" w:hAnsi="Times New Roman" w:eastAsia="Batang"/>
          <w:sz w:val="22"/>
        </w:rPr>
        <w:t>Around 450 tables. The count varies between dumps, which is itself evidence that the</w:t>
      </w:r>
    </w:p>
    <w:p>
      <w:pPr>
        <w:spacing w:line="384" w:lineRule="auto" w:after="120"/>
        <w:jc w:val="both"/>
      </w:pPr>
      <w:r>
        <w:rPr>
          <w:rFonts w:ascii="Times New Roman" w:hAnsi="Times New Roman" w:eastAsia="Batang"/>
          <w:sz w:val="22"/>
        </w:rPr>
        <w:t>table set drifts.</w:t>
      </w:r>
    </w:p>
    <w:p>
      <w:pPr>
        <w:pStyle w:val="ListBullet"/>
        <w:spacing w:line="384" w:lineRule="auto" w:after="120"/>
      </w:pPr>
      <w:r>
        <w:rPr>
          <w:rFonts w:ascii="Times New Roman" w:hAnsi="Times New Roman" w:eastAsia="Batang"/>
          <w:sz w:val="22"/>
        </w:rPr>
        <w:t>The largest table is about 60 million rows, the second about 13 million. The remaining</w:t>
      </w:r>
    </w:p>
    <w:p>
      <w:pPr>
        <w:spacing w:line="384" w:lineRule="auto" w:after="120"/>
        <w:jc w:val="both"/>
      </w:pPr>
      <w:r>
        <w:rPr>
          <w:rFonts w:ascii="Times New Roman" w:hAnsi="Times New Roman" w:eastAsia="Batang"/>
          <w:sz w:val="22"/>
        </w:rPr>
        <w:t>hundreds are comparatively small.</w:t>
      </w:r>
    </w:p>
    <w:p>
      <w:pPr>
        <w:spacing w:line="384" w:lineRule="auto" w:after="120"/>
        <w:jc w:val="both"/>
      </w:pPr>
      <w:r>
        <w:rPr>
          <w:rFonts w:ascii="Times New Roman" w:hAnsi="Times New Roman" w:eastAsia="Batang"/>
          <w:sz w:val="22"/>
        </w:rPr>
        <w:t>Two consequences follow, and both shape everything below. First, per-table commit overhead rather than decoding dominates the tail of the run. Second, there is no network access to the source database, so the dump preamble is the only version signal available.</w:t>
      </w:r>
    </w:p>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one artefact loads on CPython 3.10 and later without recompilation.</w:t>
      </w:r>
    </w:p>
    <w:p>
      <w:pPr>
        <w:spacing w:line="240" w:lineRule="auto" w:before="120" w:after="120"/>
        <w:ind w:left="454"/>
      </w:pPr>
      <w:r>
        <w:rPr>
          <w:rFonts w:ascii="Consolas" w:hAnsi="Consolas" w:eastAsia="Consolas"/>
          <w:sz w:val="18"/>
        </w:rPr>
        <w:t>pip install maturin</w:t>
        <w:br/>
        <w:t>maturin build --release</w:t>
      </w:r>
    </w:p>
    <w:p>
      <w:pPr>
        <w:spacing w:line="384" w:lineRule="auto" w:after="120"/>
        <w:jc w:val="both"/>
      </w:pPr>
      <w:r>
        <w:rPr>
          <w:rFonts w:ascii="Times New Roman" w:hAnsi="Times New Roman" w:eastAsia="Batang"/>
          <w:sz w:val="22"/>
        </w:rPr>
        <w:t xml:space="preserve">The wheel lands in </w:t>
      </w:r>
      <w:r>
        <w:rPr>
          <w:rFonts w:ascii="Consolas" w:hAnsi="Consolas" w:eastAsia="Consolas"/>
          <w:sz w:val="18"/>
        </w:rPr>
        <w:t>target/wheels/</w:t>
      </w:r>
      <w:r>
        <w:rPr>
          <w:rFonts w:ascii="Times New Roman" w:hAnsi="Times New Roman" w:eastAsia="Batang"/>
          <w:sz w:val="22"/>
        </w:rPr>
        <w:t xml:space="preserve">. Build it on the same platform family as the cluster; an </w:t>
      </w:r>
      <w:r>
        <w:rPr>
          <w:rFonts w:ascii="Consolas" w:hAnsi="Consolas" w:eastAsia="Consolas"/>
          <w:sz w:val="18"/>
        </w:rPr>
        <w:t>abi3</w:t>
      </w:r>
      <w:r>
        <w:rPr>
          <w:rFonts w:ascii="Times New Roman" w:hAnsi="Times New Roman" w:eastAsia="Batang"/>
          <w:sz w:val="22"/>
        </w:rPr>
        <w:t xml:space="preserve"> wheel is portable across Python versions, not across operating systems or architectures.</w:t>
      </w:r>
    </w:p>
    <w:p>
      <w:pPr>
        <w:spacing w:line="384" w:lineRule="auto" w:after="120"/>
        <w:jc w:val="both"/>
      </w:pPr>
      <w:r>
        <w:rPr>
          <w:rFonts w:ascii="Times New Roman" w:hAnsi="Times New Roman" w:eastAsia="Batang"/>
          <w:sz w:val="22"/>
        </w:rPr>
        <w:t>The release profile enables thin LTO and a single codegen unit. A debug build decodes roughly an order of magnitude slower and is not representative of anything.</w:t>
      </w:r>
    </w:p>
    <w:p>
      <w:pPr>
        <w:spacing w:line="384" w:lineRule="auto" w:after="120"/>
        <w:jc w:val="both"/>
      </w:pPr>
      <w:r>
        <w:rPr>
          <w:rFonts w:ascii="Times New Roman" w:hAnsi="Times New Roman" w:eastAsia="Batang"/>
          <w:sz w:val="22"/>
        </w:rPr>
        <w:t xml:space="preserve">Two optional features exist. </w:t>
      </w:r>
      <w:r>
        <w:rPr>
          <w:rFonts w:ascii="Consolas" w:hAnsi="Consolas" w:eastAsia="Consolas"/>
          <w:sz w:val="18"/>
        </w:rPr>
        <w:t>fast-gzip</w:t>
      </w:r>
      <w:r>
        <w:rPr>
          <w:rFonts w:ascii="Times New Roman" w:hAnsi="Times New Roman" w:eastAsia="Batang"/>
          <w:sz w:val="22"/>
        </w:rPr>
        <w:t xml:space="preserve"> selects the zlib-ng backend, which is materially faster but requires a C toolchain and cmake at build time; it is worth enabling only if the feed is gzipped. </w:t>
      </w:r>
      <w:r>
        <w:rPr>
          <w:rFonts w:ascii="Consolas" w:hAnsi="Consolas" w:eastAsia="Consolas"/>
          <w:sz w:val="18"/>
        </w:rPr>
        <w:t>azure</w:t>
      </w:r>
      <w:r>
        <w:rPr>
          <w:rFonts w:ascii="Times New Roman" w:hAnsi="Times New Roman" w:eastAsia="Batang"/>
          <w:sz w:val="22"/>
        </w:rPr>
        <w:t xml:space="preserve"> adds the object-store backend needed for </w:t>
      </w:r>
      <w:r>
        <w:rPr>
          <w:rFonts w:ascii="Consolas" w:hAnsi="Consolas" w:eastAsia="Consolas"/>
          <w:sz w:val="18"/>
        </w:rPr>
        <w:t>abfss://</w:t>
      </w:r>
      <w:r>
        <w:rPr>
          <w:rFonts w:ascii="Times New Roman" w:hAnsi="Times New Roman" w:eastAsia="Batang"/>
          <w:sz w:val="22"/>
        </w:rPr>
        <w:t xml:space="preserve"> output. A </w:t>
      </w:r>
      <w:r>
        <w:rPr>
          <w:rFonts w:ascii="Consolas" w:hAnsi="Consolas" w:eastAsia="Consolas"/>
          <w:sz w:val="18"/>
        </w:rPr>
        <w:t>/Volumes</w:t>
      </w:r>
      <w:r>
        <w:rPr>
          <w:rFonts w:ascii="Times New Roman" w:hAnsi="Times New Roman" w:eastAsia="Batang"/>
          <w:sz w:val="22"/>
        </w:rPr>
        <w:t xml:space="preserve"> FUSE path needs neither.</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 xml:space="preserve">Install the wheel on the cluster, or as a job-scoped library. The load runs entirely on the </w:t>
      </w:r>
      <w:r>
        <w:rPr>
          <w:rFonts w:ascii="Times New Roman" w:hAnsi="Times New Roman" w:eastAsia="Batang"/>
          <w:b/>
          <w:sz w:val="22"/>
        </w:rPr>
        <w:t>driver</w:t>
      </w:r>
      <w:r>
        <w:rPr>
          <w:rFonts w:ascii="Times New Roman" w:hAnsi="Times New Roman" w:eastAsia="Batang"/>
          <w:sz w:val="22"/>
        </w:rPr>
        <w:t>: it is a single-node design and executors are not used. Sizing the cluster therefore means sizing the driver, and a large worker pool is wasted money.</w:t>
      </w:r>
    </w:p>
    <w:p>
      <w:pPr>
        <w:pStyle w:val="Heading2"/>
      </w:pPr>
      <w:r>
        <w:rPr>
          <w:rFonts w:ascii="Times New Roman" w:hAnsi="Times New Roman" w:eastAsia="Batang"/>
          <w:b/>
          <w:color w:val="000000"/>
          <w:sz w:val="24"/>
        </w:rPr>
        <w:t>3. Where output may be written</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Output location options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Target</w:t>
            </w:r>
          </w:p>
        </w:tc>
        <w:tc>
          <w:tcPr>
            <w:tcW w:type="dxa" w:w="3135"/>
          </w:tcPr>
          <w:p>
            <w:pPr>
              <w:jc w:val="center"/>
            </w:pPr>
            <w:r>
              <w:rPr>
                <w:rFonts w:ascii="Times New Roman" w:hAnsi="Times New Roman" w:eastAsia="Batang"/>
                <w:b/>
                <w:sz w:val="22"/>
              </w:rPr>
              <w:t>Supported</w:t>
            </w:r>
          </w:p>
        </w:tc>
        <w:tc>
          <w:tcPr>
            <w:tcW w:type="dxa" w:w="3135"/>
          </w:tcPr>
          <w:p>
            <w:pPr>
              <w:jc w:val="center"/>
            </w:pPr>
            <w:r>
              <w:rPr>
                <w:rFonts w:ascii="Times New Roman" w:hAnsi="Times New Roman" w:eastAsia="Batang"/>
                <w:b/>
                <w:sz w:val="22"/>
              </w:rPr>
              <w:t>Notes</w:t>
            </w:r>
          </w:p>
        </w:tc>
      </w:tr>
      <w:tr>
        <w:tc>
          <w:tcPr>
            <w:tcW w:type="dxa" w:w="3135"/>
          </w:tcPr>
          <w:p>
            <w:r>
              <w:rPr>
                <w:rFonts w:ascii="Consolas" w:hAnsi="Consolas" w:eastAsia="Consolas"/>
                <w:sz w:val="18"/>
              </w:rPr>
              <w:t>/Volumes/...</w:t>
            </w:r>
            <w:r>
              <w:rPr>
                <w:rFonts w:ascii="Times New Roman" w:hAnsi="Times New Roman" w:eastAsia="Batang"/>
                <w:sz w:val="22"/>
              </w:rPr>
              <w:t xml:space="preserve"> FUSE path</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Simplest. Needs no object-store feature</w:t>
            </w:r>
          </w:p>
        </w:tc>
      </w:tr>
      <w:tr>
        <w:tc>
          <w:tcPr>
            <w:tcW w:type="dxa" w:w="3135"/>
          </w:tcPr>
          <w:p>
            <w:r>
              <w:rPr>
                <w:rFonts w:ascii="Times New Roman" w:hAnsi="Times New Roman" w:eastAsia="Batang"/>
                <w:sz w:val="22"/>
              </w:rPr>
              <w:t xml:space="preserve">External location, </w:t>
            </w:r>
            <w:r>
              <w:rPr>
                <w:rFonts w:ascii="Consolas" w:hAnsi="Consolas" w:eastAsia="Consolas"/>
                <w:sz w:val="18"/>
              </w:rPr>
              <w:t>abfss://</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 xml:space="preserve">Requires the </w:t>
            </w:r>
            <w:r>
              <w:rPr>
                <w:rFonts w:ascii="Consolas" w:hAnsi="Consolas" w:eastAsia="Consolas"/>
                <w:sz w:val="18"/>
              </w:rPr>
              <w:t>azure</w:t>
            </w:r>
            <w:r>
              <w:rPr>
                <w:rFonts w:ascii="Times New Roman" w:hAnsi="Times New Roman" w:eastAsia="Batang"/>
                <w:sz w:val="22"/>
              </w:rPr>
              <w:t xml:space="preserve"> feature and </w:t>
            </w:r>
            <w:r>
              <w:rPr>
                <w:rFonts w:ascii="Consolas" w:hAnsi="Consolas" w:eastAsia="Consolas"/>
                <w:sz w:val="18"/>
              </w:rPr>
              <w:t>storage_options</w:t>
            </w:r>
          </w:p>
        </w:tc>
      </w:tr>
      <w:tr>
        <w:tc>
          <w:tcPr>
            <w:tcW w:type="dxa" w:w="3135"/>
          </w:tcPr>
          <w:p>
            <w:r>
              <w:rPr>
                <w:rFonts w:ascii="Times New Roman" w:hAnsi="Times New Roman" w:eastAsia="Batang"/>
                <w:sz w:val="22"/>
              </w:rPr>
              <w:t xml:space="preserve">Unity Catalog </w:t>
            </w:r>
            <w:r>
              <w:rPr>
                <w:rFonts w:ascii="Times New Roman" w:hAnsi="Times New Roman" w:eastAsia="Batang"/>
                <w:b/>
                <w:sz w:val="22"/>
              </w:rPr>
              <w:t>managed</w:t>
            </w:r>
            <w:r>
              <w:rPr>
                <w:rFonts w:ascii="Times New Roman" w:hAnsi="Times New Roman" w:eastAsia="Batang"/>
                <w:sz w:val="22"/>
              </w:rPr>
              <w:t xml:space="preserve"> table</w:t>
            </w:r>
          </w:p>
        </w:tc>
        <w:tc>
          <w:tcPr>
            <w:tcW w:type="dxa" w:w="3135"/>
          </w:tcPr>
          <w:p>
            <w:r>
              <w:rPr>
                <w:rFonts w:ascii="Times New Roman" w:hAnsi="Times New Roman" w:eastAsia="Batang"/>
                <w:b/>
                <w:sz w:val="22"/>
              </w:rPr>
              <w:t>No</w:t>
            </w:r>
          </w:p>
        </w:tc>
        <w:tc>
          <w:tcPr>
            <w:tcW w:type="dxa" w:w="3135"/>
          </w:tcPr>
          <w:p>
            <w:r>
              <w:rPr>
                <w:rFonts w:ascii="Times New Roman" w:hAnsi="Times New Roman" w:eastAsia="Batang"/>
                <w:sz w:val="22"/>
              </w:rPr>
              <w:t>Do not do this</w:t>
            </w:r>
          </w:p>
        </w:tc>
      </w:tr>
    </w:tbl>
    <w:p/>
    <w:p>
      <w:pPr>
        <w:spacing w:line="384" w:lineRule="auto" w:after="120"/>
        <w:jc w:val="both"/>
      </w:pPr>
      <w:r>
        <w:rPr>
          <w:rFonts w:ascii="Times New Roman" w:hAnsi="Times New Roman" w:eastAsia="Batang"/>
          <w:sz w:val="22"/>
        </w:rPr>
        <w:t>Never write to a Unity Catalog managed table. Managed tables assume Databricks is the only writer; a third-party writer can corrupt them, and the failure mode is not a clean error. Use an external location or a Volume, and register the result if a catalog entry is wanted.</w:t>
      </w:r>
    </w:p>
    <w:p>
      <w:pPr>
        <w:pStyle w:val="Heading2"/>
      </w:pPr>
      <w:r>
        <w:rPr>
          <w:rFonts w:ascii="Times New Roman" w:hAnsi="Times New Roman" w:eastAsia="Batang"/>
          <w:b/>
          <w:color w:val="000000"/>
          <w:sz w:val="24"/>
        </w:rPr>
        <w:t>4. The compatibility floor</w:t>
      </w:r>
    </w:p>
    <w:p>
      <w:pPr>
        <w:spacing w:line="384" w:lineRule="auto" w:after="120"/>
        <w:jc w:val="both"/>
      </w:pPr>
      <w:r>
        <w:rPr>
          <w:rFonts w:ascii="Times New Roman" w:hAnsi="Times New Roman" w:eastAsia="Batang"/>
          <w:sz w:val="22"/>
        </w:rPr>
        <w:t xml:space="preserve">Tables are created at Delta </w:t>
      </w:r>
      <w:r>
        <w:rPr>
          <w:rFonts w:ascii="Times New Roman" w:hAnsi="Times New Roman" w:eastAsia="Batang"/>
          <w:b/>
          <w:sz w:val="22"/>
        </w:rPr>
        <w:t>reader version 1 and writer version 2</w:t>
      </w:r>
      <w:r>
        <w:rPr>
          <w:rFonts w:ascii="Times New Roman" w:hAnsi="Times New Roman" w:eastAsia="Batang"/>
          <w:sz w:val="22"/>
        </w:rPr>
        <w:t>, with no deletion vectors and no column mapping, so any Databricks Runtime can read the output. This is a deliberate constraint and a test asserts it, because a delta-rs upgrade could otherwise raise the default silently.</w:t>
      </w:r>
    </w:p>
    <w:p>
      <w:pPr>
        <w:spacing w:line="384" w:lineRule="auto" w:after="120"/>
        <w:jc w:val="both"/>
      </w:pPr>
      <w:r>
        <w:rPr>
          <w:rFonts w:ascii="Times New Roman" w:hAnsi="Times New Roman" w:eastAsia="Batang"/>
          <w:sz w:val="22"/>
        </w:rPr>
        <w:t xml:space="preserve">The visible cost is that naive PostgreSQL timestamps are assumed to be UTC rather than written as </w:t>
      </w:r>
      <w:r>
        <w:rPr>
          <w:rFonts w:ascii="Consolas" w:hAnsi="Consolas" w:eastAsia="Consolas"/>
          <w:sz w:val="18"/>
        </w:rPr>
        <w:t>timestamp_ntz</w:t>
      </w:r>
      <w:r>
        <w:rPr>
          <w:rFonts w:ascii="Times New Roman" w:hAnsi="Times New Roman" w:eastAsia="Batang"/>
          <w:sz w:val="22"/>
        </w:rPr>
        <w:t xml:space="preserve">, which would require reader version 3 and writer version 7. See </w:t>
      </w:r>
      <w:r>
        <w:rPr>
          <w:rFonts w:ascii="Consolas" w:hAnsi="Consolas" w:eastAsia="Consolas"/>
          <w:sz w:val="18"/>
        </w:rPr>
        <w:t>api.md</w:t>
      </w:r>
      <w:r>
        <w:rPr>
          <w:rFonts w:ascii="Times New Roman" w:hAnsi="Times New Roman" w:eastAsia="Batang"/>
          <w:sz w:val="22"/>
        </w:rPr>
        <w:t>, Chapter V, Section 4.</w:t>
      </w:r>
    </w:p>
    <w:p/>
    <w:p>
      <w:pPr>
        <w:pStyle w:val="Heading1"/>
      </w:pPr>
      <w:r>
        <w:rPr>
          <w:rFonts w:ascii="Times New Roman" w:hAnsi="Times New Roman" w:eastAsia="Batang"/>
          <w:b/>
          <w:color w:val="000000"/>
          <w:sz w:val="26"/>
        </w:rPr>
        <w:t>III.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one. Only wall-clock time scales, and that is what sizing is about.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3-1]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so the first term does not multiply by the table count. With the defaults on a sixteen-core driver, </w:t>
      </w:r>
      <w:r>
        <w:rPr>
          <w:rFonts w:ascii="Consolas" w:hAnsi="Consolas" w:eastAsia="Consolas"/>
          <w:sz w:val="18"/>
        </w:rPr>
        <w:t>threads</w:t>
      </w:r>
      <w:r>
        <w:rPr>
          <w:rFonts w:ascii="Times New Roman" w:hAnsi="Times New Roman" w:eastAsia="Batang"/>
          <w:sz w:val="22"/>
        </w:rPr>
        <w:t xml:space="preserve"> is 16 and </w:t>
      </w:r>
      <w:r>
        <w:rPr>
          <w:rFonts w:ascii="Consolas" w:hAnsi="Consolas" w:eastAsia="Consolas"/>
          <w:sz w:val="18"/>
        </w:rPr>
        <w:t>batch_bytes</w:t>
      </w:r>
      <w:r>
        <w:rPr>
          <w:rFonts w:ascii="Times New Roman" w:hAnsi="Times New Roman" w:eastAsia="Batang"/>
          <w:sz w:val="22"/>
        </w:rPr>
        <w:t xml:space="preserve"> is 128 MB, which reserves about two gigabytes of builders before Parquet buffers are counted. The decode queue adds roughly </w:t>
      </w:r>
      <w:r>
        <w:rPr>
          <w:rFonts w:ascii="Consolas" w:hAnsi="Consolas" w:eastAsia="Consolas"/>
          <w:sz w:val="18"/>
        </w:rPr>
        <w:t>16 x 3 x 16 MB</w:t>
      </w:r>
      <w:r>
        <w:rPr>
          <w:rFonts w:ascii="Times New Roman" w:hAnsi="Times New Roman" w:eastAsia="Batang"/>
          <w:sz w:val="22"/>
        </w:rPr>
        <w:t>, another three quarters of a gigabyte.</w:t>
      </w:r>
    </w:p>
    <w:p>
      <w:pPr>
        <w:spacing w:line="384" w:lineRule="auto" w:after="120"/>
        <w:jc w:val="both"/>
      </w:pPr>
      <w:r>
        <w:rPr>
          <w:rFonts w:ascii="Times New Roman" w:hAnsi="Times New Roman" w:eastAsia="Batang"/>
          <w:b/>
          <w:sz w:val="22"/>
        </w:rPr>
        <w:t>`threads` and `batch_bytes` multiply.</w:t>
      </w:r>
      <w:r>
        <w:rPr>
          <w:rFonts w:ascii="Times New Roman" w:hAnsi="Times New Roman" w:eastAsia="Batang"/>
          <w:sz w:val="22"/>
        </w:rPr>
        <w:t xml:space="preserve"> When memory is tight, lower </w:t>
      </w:r>
      <w:r>
        <w:rPr>
          <w:rFonts w:ascii="Consolas" w:hAnsi="Consolas" w:eastAsia="Consolas"/>
          <w:sz w:val="18"/>
        </w:rPr>
        <w:t>batch_bytes</w:t>
      </w:r>
      <w:r>
        <w:rPr>
          <w:rFonts w:ascii="Times New Roman" w:hAnsi="Times New Roman" w:eastAsia="Batang"/>
          <w:sz w:val="22"/>
        </w:rPr>
        <w:t xml:space="preserve"> first. Batches flush on whichever bound is reached first, so a smaller byte bound costs only more frequent flushes, whereas fewer threads costs throughput directly.</w:t>
      </w:r>
    </w:p>
    <w:p>
      <w:pPr>
        <w:pStyle w:val="Heading2"/>
      </w:pPr>
      <w:r>
        <w:rPr>
          <w:rFonts w:ascii="Times New Roman" w:hAnsi="Times New Roman" w:eastAsia="Batang"/>
          <w:b/>
          <w:color w:val="000000"/>
          <w:sz w:val="24"/>
        </w:rPr>
        <w:t>3. Cores and threads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defaults to the machine's parallelism. Lower it when the driver is shared with other work, or when memory is constrained and lowering </w:t>
      </w:r>
      <w:r>
        <w:rPr>
          <w:rFonts w:ascii="Consolas" w:hAnsi="Consolas" w:eastAsia="Consolas"/>
          <w:sz w:val="18"/>
        </w:rPr>
        <w:t>batch_bytes</w:t>
      </w:r>
      <w:r>
        <w:rPr>
          <w:rFonts w:ascii="Times New Roman" w:hAnsi="Times New Roman" w:eastAsia="Batang"/>
          <w:sz w:val="22"/>
        </w:rPr>
        <w:t xml:space="preserve"> was not enough.</w:t>
      </w:r>
    </w:p>
    <w:p>
      <w:pPr>
        <w:spacing w:line="384" w:lineRule="auto" w:after="120"/>
        <w:jc w:val="both"/>
      </w:pPr>
      <w:r>
        <w:rPr>
          <w:rFonts w:ascii="Times New Roman" w:hAnsi="Times New Roman" w:eastAsia="Batang"/>
          <w:sz w:val="22"/>
        </w:rPr>
        <w:t>Raising it above the core count achieves nothing: the workers are CPU-bound on decoding and Parquet encoding, not waiting on anything.</w:t>
      </w:r>
    </w:p>
    <w:p>
      <w:pPr>
        <w:pStyle w:val="Heading2"/>
      </w:pPr>
      <w:r>
        <w:rPr>
          <w:rFonts w:ascii="Times New Roman" w:hAnsi="Times New Roman" w:eastAsia="Batang"/>
          <w:b/>
          <w:color w:val="000000"/>
          <w:sz w:val="24"/>
        </w:rPr>
        <w:t>4. Expected runtime</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Measured stage throughput</w:t>
      </w:r>
    </w:p>
    <w:p>
      <w:pPr>
        <w:spacing w:line="384" w:lineRule="auto" w:after="120"/>
        <w:jc w:val="both"/>
      </w:pPr>
      <w:r>
        <w:rPr>
          <w:rFonts w:ascii="Times New Roman" w:hAnsi="Times New Roman" w:eastAsia="Batang"/>
          <w:sz w:val="22"/>
        </w:rPr>
        <w:t xml:space="preserve">Measured on synthetic COPY TEXT data carrying realistic entropy, at a 3.0x gzip ratio, via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Rate</w:t>
            </w:r>
          </w:p>
        </w:tc>
        <w:tc>
          <w:tcPr>
            <w:tcW w:type="dxa" w:w="3135"/>
          </w:tcPr>
          <w:p>
            <w:pPr>
              <w:jc w:val="center"/>
            </w:pPr>
            <w:r>
              <w:rPr>
                <w:rFonts w:ascii="Times New Roman" w:hAnsi="Times New Roman" w:eastAsia="Batang"/>
                <w:b/>
                <w:sz w:val="22"/>
              </w:rPr>
              <w:t>Scales with cores</w:t>
            </w:r>
          </w:p>
        </w:tc>
      </w:tr>
      <w:tr>
        <w:tc>
          <w:tcPr>
            <w:tcW w:type="dxa" w:w="3135"/>
          </w:tcPr>
          <w:p>
            <w:r>
              <w:rPr>
                <w:rFonts w:ascii="Times New Roman" w:hAnsi="Times New Roman" w:eastAsia="Batang"/>
                <w:sz w:val="22"/>
              </w:rPr>
              <w:t>gunzip</w:t>
            </w:r>
          </w:p>
        </w:tc>
        <w:tc>
          <w:tcPr>
            <w:tcW w:type="dxa" w:w="3135"/>
          </w:tcPr>
          <w:p>
            <w:r>
              <w:rPr>
                <w:rFonts w:ascii="Times New Roman" w:hAnsi="Times New Roman" w:eastAsia="Batang"/>
                <w:sz w:val="22"/>
              </w:rPr>
              <w:t>349 MiB/s</w:t>
            </w:r>
          </w:p>
        </w:tc>
        <w:tc>
          <w:tcPr>
            <w:tcW w:type="dxa" w:w="3135"/>
          </w:tcPr>
          <w:p>
            <w:r>
              <w:rPr>
                <w:rFonts w:ascii="Times New Roman" w:hAnsi="Times New Roman" w:eastAsia="Batang"/>
                <w:sz w:val="22"/>
              </w:rPr>
              <w:t>No, inherently serial</w:t>
            </w:r>
          </w:p>
        </w:tc>
      </w:tr>
      <w:tr>
        <w:tc>
          <w:tcPr>
            <w:tcW w:type="dxa" w:w="3135"/>
          </w:tcPr>
          <w:p>
            <w:r>
              <w:rPr>
                <w:rFonts w:ascii="Times New Roman" w:hAnsi="Times New Roman" w:eastAsia="Batang"/>
                <w:sz w:val="22"/>
              </w:rPr>
              <w:t>Row decode</w:t>
            </w:r>
          </w:p>
        </w:tc>
        <w:tc>
          <w:tcPr>
            <w:tcW w:type="dxa" w:w="3135"/>
          </w:tcPr>
          <w:p>
            <w:r>
              <w:rPr>
                <w:rFonts w:ascii="Times New Roman" w:hAnsi="Times New Roman" w:eastAsia="Batang"/>
                <w:sz w:val="22"/>
              </w:rPr>
              <w:t>1068 MiB/s per core</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Scan</w:t>
            </w:r>
          </w:p>
        </w:tc>
        <w:tc>
          <w:tcPr>
            <w:tcW w:type="dxa" w:w="3135"/>
          </w:tcPr>
          <w:p>
            <w:r>
              <w:rPr>
                <w:rFonts w:ascii="Times New Roman" w:hAnsi="Times New Roman" w:eastAsia="Batang"/>
                <w:sz w:val="22"/>
              </w:rPr>
              <w:t>8681 MiB/s</w:t>
            </w:r>
          </w:p>
        </w:tc>
        <w:tc>
          <w:tcPr>
            <w:tcW w:type="dxa" w:w="3135"/>
          </w:tcPr>
          <w:p>
            <w:r>
              <w:rPr>
                <w:rFonts w:ascii="Times New Roman" w:hAnsi="Times New Roman" w:eastAsia="Batang"/>
                <w:sz w:val="22"/>
              </w:rPr>
              <w:t>No, but negligible</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Indicative runtimes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Dump</w:t>
            </w:r>
          </w:p>
        </w:tc>
        <w:tc>
          <w:tcPr>
            <w:tcW w:type="dxa" w:w="3135"/>
          </w:tcPr>
          <w:p>
            <w:pPr>
              <w:jc w:val="center"/>
            </w:pPr>
            <w:r>
              <w:rPr>
                <w:rFonts w:ascii="Times New Roman" w:hAnsi="Times New Roman" w:eastAsia="Batang"/>
                <w:b/>
                <w:sz w:val="22"/>
              </w:rPr>
              <w:t>Plain input</w:t>
            </w:r>
          </w:p>
        </w:tc>
        <w:tc>
          <w:tcPr>
            <w:tcW w:type="dxa" w:w="3135"/>
          </w:tcPr>
          <w:p>
            <w:pPr>
              <w:jc w:val="center"/>
            </w:pPr>
            <w:r>
              <w:rPr>
                <w:rFonts w:ascii="Times New Roman" w:hAnsi="Times New Roman" w:eastAsia="Batang"/>
                <w:b/>
                <w:sz w:val="22"/>
              </w:rPr>
              <w:t>gzip input</w:t>
            </w:r>
          </w:p>
        </w:tc>
      </w:tr>
      <w:tr>
        <w:tc>
          <w:tcPr>
            <w:tcW w:type="dxa" w:w="3135"/>
          </w:tcPr>
          <w:p>
            <w:r>
              <w:rPr>
                <w:rFonts w:ascii="Times New Roman" w:hAnsi="Times New Roman" w:eastAsia="Batang"/>
                <w:sz w:val="22"/>
              </w:rPr>
              <w:t>48 GB</w:t>
            </w:r>
          </w:p>
        </w:tc>
        <w:tc>
          <w:tcPr>
            <w:tcW w:type="dxa" w:w="3135"/>
          </w:tcPr>
          <w:p>
            <w:r>
              <w:rPr>
                <w:rFonts w:ascii="Times New Roman" w:hAnsi="Times New Roman" w:eastAsia="Batang"/>
                <w:sz w:val="22"/>
              </w:rPr>
              <w:t>Bounded by Parquet encode and upload</w:t>
            </w:r>
          </w:p>
        </w:tc>
        <w:tc>
          <w:tcPr>
            <w:tcW w:type="dxa" w:w="3135"/>
          </w:tcPr>
          <w:p>
            <w:r>
              <w:rPr>
                <w:rFonts w:ascii="Times New Roman" w:hAnsi="Times New Roman" w:eastAsia="Batang"/>
                <w:sz w:val="22"/>
              </w:rPr>
              <w:t>2.3 min of gunzip alone, serial</w:t>
            </w:r>
          </w:p>
        </w:tc>
      </w:tr>
      <w:tr>
        <w:tc>
          <w:tcPr>
            <w:tcW w:type="dxa" w:w="3135"/>
          </w:tcPr>
          <w:p>
            <w:r>
              <w:rPr>
                <w:rFonts w:ascii="Times New Roman" w:hAnsi="Times New Roman" w:eastAsia="Batang"/>
                <w:sz w:val="22"/>
              </w:rPr>
              <w:t>480 GB</w:t>
            </w:r>
          </w:p>
        </w:tc>
        <w:tc>
          <w:tcPr>
            <w:tcW w:type="dxa" w:w="3135"/>
          </w:tcPr>
          <w:p>
            <w:r>
              <w:rPr>
                <w:rFonts w:ascii="Times New Roman" w:hAnsi="Times New Roman" w:eastAsia="Batang"/>
                <w:sz w:val="22"/>
              </w:rPr>
              <w:t>As above, ten times longer</w:t>
            </w:r>
          </w:p>
        </w:tc>
        <w:tc>
          <w:tcPr>
            <w:tcW w:type="dxa" w:w="3135"/>
          </w:tcPr>
          <w:p>
            <w:r>
              <w:rPr>
                <w:rFonts w:ascii="Times New Roman" w:hAnsi="Times New Roman" w:eastAsia="Batang"/>
                <w:sz w:val="22"/>
              </w:rPr>
              <w:t>23.5 min of gunzip alone, serial</w:t>
            </w:r>
          </w:p>
        </w:tc>
      </w:tr>
    </w:tbl>
    <w:p/>
    <w:p>
      <w:pPr>
        <w:spacing w:line="384" w:lineRule="auto" w:after="120"/>
        <w:jc w:val="both"/>
      </w:pPr>
      <w:r>
        <w:rPr>
          <w:rFonts w:ascii="Times New Roman" w:hAnsi="Times New Roman" w:eastAsia="Batang"/>
          <w:sz w:val="22"/>
        </w:rPr>
        <w:t xml:space="preserve">Read those figures carefully. </w:t>
      </w:r>
      <w:r>
        <w:rPr>
          <w:rFonts w:ascii="Times New Roman" w:hAnsi="Times New Roman" w:eastAsia="Batang"/>
          <w:b/>
          <w:sz w:val="22"/>
        </w:rPr>
        <w:t>With gzip input the decompressor governs the run</w:t>
      </w:r>
      <w:r>
        <w:rPr>
          <w:rFonts w:ascii="Times New Roman" w:hAnsi="Times New Roman" w:eastAsia="Batang"/>
          <w:sz w:val="22"/>
        </w:rPr>
        <w:t>: one decode thread already outpaces it three to one, so the decode pool exists to remove a single-core ceiling and to absorb a future format change, not because decoding is scarce. With plain input, which is what the current feed delivers, the decompression stage disappears entirely and Parquet encoding becomes the constraint, which is exactly the stage the worker pool parallelises.</w:t>
      </w:r>
    </w:p>
    <w:p>
      <w:pPr>
        <w:pStyle w:val="Heading2"/>
      </w:pPr>
      <w:r>
        <w:rPr>
          <w:rFonts w:ascii="Times New Roman" w:hAnsi="Times New Roman" w:eastAsia="Batang"/>
          <w:b/>
          <w:color w:val="000000"/>
          <w:sz w:val="24"/>
        </w:rPr>
        <w:t>5. Choosing a driver</w:t>
      </w:r>
    </w:p>
    <w:p>
      <w:pPr>
        <w:spacing w:line="384" w:lineRule="auto" w:after="120"/>
        <w:jc w:val="both"/>
      </w:pPr>
      <w:r>
        <w:rPr>
          <w:rFonts w:ascii="Times New Roman" w:hAnsi="Times New Roman" w:eastAsia="Batang"/>
          <w:sz w:val="22"/>
        </w:rPr>
        <w:t xml:space="preserve">Prefer cores and memory on the driver over any worker allocation. A memory-optimised single node is the right shape. Start with the defaults, record peak memory from the first few runs, and lower </w:t>
      </w:r>
      <w:r>
        <w:rPr>
          <w:rFonts w:ascii="Consolas" w:hAnsi="Consolas" w:eastAsia="Consolas"/>
          <w:sz w:val="18"/>
        </w:rPr>
        <w:t>batch_bytes</w:t>
      </w:r>
      <w:r>
        <w:rPr>
          <w:rFonts w:ascii="Times New Roman" w:hAnsi="Times New Roman" w:eastAsia="Batang"/>
          <w:sz w:val="22"/>
        </w:rPr>
        <w:t xml:space="preserve"> if the headroom is uncomfortable.</w:t>
      </w:r>
    </w:p>
    <w:p/>
    <w:p>
      <w:pPr>
        <w:pStyle w:val="Heading1"/>
      </w:pPr>
      <w:r>
        <w:rPr>
          <w:rFonts w:ascii="Times New Roman" w:hAnsi="Times New Roman" w:eastAsia="Batang"/>
          <w:b/>
          <w:color w:val="000000"/>
          <w:sz w:val="26"/>
        </w:rPr>
        <w:t>IV.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Two mechanisms add files that are invisible to readers but still billed.</w:t>
      </w:r>
    </w:p>
    <w:p>
      <w:pPr>
        <w:pStyle w:val="ListBullet"/>
        <w:spacing w:line="384" w:lineRule="auto" w:after="120"/>
      </w:pPr>
      <w:r>
        <w:rPr>
          <w:rFonts w:ascii="Times New Roman" w:hAnsi="Times New Roman" w:eastAsia="Batang"/>
          <w:b/>
          <w:sz w:val="22"/>
        </w:rPr>
        <w:t>Overwrites tombstone.</w:t>
      </w:r>
      <w:r>
        <w:rPr>
          <w:rFonts w:ascii="Times New Roman" w:hAnsi="Times New Roman" w:eastAsia="Batang"/>
          <w:sz w:val="22"/>
        </w:rPr>
        <w:t xml:space="preserve"> A daily full overwrite marks the previous run's files removed</w:t>
      </w:r>
    </w:p>
    <w:p>
      <w:pPr>
        <w:spacing w:line="384" w:lineRule="auto" w:after="120"/>
        <w:jc w:val="both"/>
      </w:pPr>
      <w:r>
        <w:rPr>
          <w:rFonts w:ascii="Times New Roman" w:hAnsi="Times New Roman" w:eastAsia="Batang"/>
          <w:sz w:val="22"/>
        </w:rPr>
        <w:t xml:space="preserve">in the transaction log. The files persist until </w:t>
      </w:r>
      <w:r>
        <w:rPr>
          <w:rFonts w:ascii="Consolas" w:hAnsi="Consolas" w:eastAsia="Consolas"/>
          <w:sz w:val="18"/>
        </w:rPr>
        <w:t>VACUUM</w:t>
      </w:r>
      <w:r>
        <w:rPr>
          <w:rFonts w:ascii="Times New Roman" w:hAnsi="Times New Roman" w:eastAsia="Batang"/>
          <w:sz w:val="22"/>
        </w:rPr>
        <w:t>. Across roughly 450 tables, every day, this accumulates quickly.</w:t>
      </w:r>
    </w:p>
    <w:p>
      <w:pPr>
        <w:pStyle w:val="ListBullet"/>
        <w:spacing w:line="384" w:lineRule="auto" w:after="120"/>
      </w:pPr>
      <w:r>
        <w:rPr>
          <w:rFonts w:ascii="Times New Roman" w:hAnsi="Times New Roman" w:eastAsia="Batang"/>
          <w:b/>
          <w:sz w:val="22"/>
        </w:rPr>
        <w:t>Failed runs orphan.</w:t>
      </w:r>
      <w:r>
        <w:rPr>
          <w:rFonts w:ascii="Times New Roman" w:hAnsi="Times New Roman" w:eastAsia="Batang"/>
          <w:sz w:val="22"/>
        </w:rPr>
        <w:t xml:space="preserve"> A load that fails in Phase 1 leaves every Parquet file it had</w:t>
      </w:r>
    </w:p>
    <w:p>
      <w:pPr>
        <w:spacing w:line="384" w:lineRule="auto" w:after="120"/>
        <w:jc w:val="both"/>
      </w:pPr>
      <w:r>
        <w:rPr>
          <w:rFonts w:ascii="Times New Roman" w:hAnsi="Times New Roman" w:eastAsia="Batang"/>
          <w:sz w:val="22"/>
        </w:rPr>
        <w:t>written up to that point, referenced by nothing. At 480 GB a late failure orphans a large number of dead bytes.</w:t>
      </w:r>
    </w:p>
    <w:p>
      <w:pPr>
        <w:spacing w:line="384" w:lineRule="auto" w:after="120"/>
        <w:jc w:val="both"/>
      </w:pPr>
      <w:r>
        <w:rPr>
          <w:rFonts w:ascii="Times New Roman" w:hAnsi="Times New Roman" w:eastAsia="Batang"/>
          <w:sz w:val="22"/>
        </w:rPr>
        <w:t>Neither is visible to a query. Both are visible on the invoice.</w:t>
      </w:r>
    </w:p>
    <w:p>
      <w:pPr>
        <w:pStyle w:val="Heading2"/>
      </w:pPr>
      <w:r>
        <w:rPr>
          <w:rFonts w:ascii="Times New Roman" w:hAnsi="Times New Roman" w:eastAsia="Batang"/>
          <w:b/>
          <w:color w:val="000000"/>
          <w:sz w:val="24"/>
        </w:rPr>
        <w:t>2. Scheduling VACUUM</w:t>
      </w:r>
    </w:p>
    <w:p>
      <w:pPr>
        <w:spacing w:line="384" w:lineRule="auto" w:after="120"/>
        <w:jc w:val="both"/>
      </w:pPr>
      <w:r>
        <w:rPr>
          <w:rFonts w:ascii="Consolas" w:hAnsi="Consolas" w:eastAsia="Consolas"/>
          <w:sz w:val="18"/>
        </w:rPr>
        <w:t>VACUUM</w:t>
      </w:r>
      <w:r>
        <w:rPr>
          <w:rFonts w:ascii="Times New Roman" w:hAnsi="Times New Roman" w:eastAsia="Batang"/>
          <w:sz w:val="22"/>
        </w:rPr>
        <w:t xml:space="preserve"> is </w:t>
      </w:r>
      <w:r>
        <w:rPr>
          <w:rFonts w:ascii="Times New Roman" w:hAnsi="Times New Roman" w:eastAsia="Batang"/>
          <w:b/>
          <w:sz w:val="22"/>
        </w:rPr>
        <w:t>not optional</w:t>
      </w:r>
      <w:r>
        <w:rPr>
          <w:rFonts w:ascii="Times New Roman" w:hAnsi="Times New Roman" w:eastAsia="Batang"/>
          <w:sz w:val="22"/>
        </w:rPr>
        <w:t xml:space="preserve"> and nothing in this library runs it. Schedule it explicitly across every table beneath the output prefix.</w:t>
      </w:r>
    </w:p>
    <w:p>
      <w:pPr>
        <w:spacing w:line="240" w:lineRule="auto" w:before="120" w:after="120"/>
        <w:ind w:left="454"/>
      </w:pPr>
      <w:r>
        <w:rPr>
          <w:rFonts w:ascii="Consolas" w:hAnsi="Consolas" w:eastAsia="Consolas"/>
          <w:sz w:val="18"/>
        </w:rPr>
        <w:t>VACUUM delta.`/Volumes/main/raw/pg/public/users` RETAIN 168 HOURS;</w:t>
      </w:r>
    </w:p>
    <w:p>
      <w:pPr>
        <w:spacing w:line="384" w:lineRule="auto" w:after="120"/>
        <w:jc w:val="both"/>
      </w:pPr>
      <w:r>
        <w:rPr>
          <w:rFonts w:ascii="Times New Roman" w:hAnsi="Times New Roman" w:eastAsia="Batang"/>
          <w:sz w:val="22"/>
        </w:rPr>
        <w:t>Iterate over the tables the load reports rather than over a hard-coded list, since the table set drifts:</w:t>
      </w:r>
    </w:p>
    <w:p>
      <w:pPr>
        <w:spacing w:line="240" w:lineRule="auto" w:before="120" w:after="120"/>
        <w:ind w:left="454"/>
      </w:pPr>
      <w:r>
        <w:rPr>
          <w:rFonts w:ascii="Consolas" w:hAnsi="Consolas" w:eastAsia="Consolas"/>
          <w:sz w:val="18"/>
        </w:rPr>
        <w:t>for stats in report.tables:</w:t>
        <w:br/>
        <w:t xml:space="preserve">    path = f"{output_uri.rstrip('/')}/{stats.table.replace('.', '/')}"</w:t>
        <w:br/>
        <w:t xml:space="preserve">    spark.sql(f"VACUUM delta.`{path}` RETAIN 168 HOURS")</w:t>
      </w:r>
    </w:p>
    <w:p>
      <w:pPr>
        <w:spacing w:line="384" w:lineRule="auto" w:after="120"/>
        <w:jc w:val="both"/>
      </w:pPr>
      <w:r>
        <w:rPr>
          <w:rFonts w:ascii="Times New Roman" w:hAnsi="Times New Roman" w:eastAsia="Batang"/>
          <w:sz w:val="22"/>
        </w:rPr>
        <w:t>Run it after a successful load, not before, and not concurrently with one.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default retention is seven days, and lowering it below that requires overriding a safety check that exists to protect concurrent readers. Seven days is a reasonable starting point here: it is longer than the daily cadence, so a run can always be compared against yesterday, and short enough that storage does not compound.</w:t>
      </w:r>
    </w:p>
    <w:p>
      <w:pPr>
        <w:spacing w:line="384" w:lineRule="auto" w:after="120"/>
        <w:jc w:val="both"/>
      </w:pPr>
      <w:r>
        <w:rPr>
          <w:rFonts w:ascii="Times New Roman" w:hAnsi="Times New Roman" w:eastAsia="Batang"/>
          <w:sz w:val="22"/>
        </w:rPr>
        <w:t>Shorten it only if storage cost demands it and you are certain no long-running reader or time-travel query depends on the window.</w:t>
      </w:r>
    </w:p>
    <w:p/>
    <w:p>
      <w:pPr>
        <w:pStyle w:val="Heading1"/>
      </w:pPr>
      <w:r>
        <w:rPr>
          <w:rFonts w:ascii="Times New Roman" w:hAnsi="Times New Roman" w:eastAsia="Batang"/>
          <w:b/>
          <w:color w:val="000000"/>
          <w:sz w:val="26"/>
        </w:rPr>
        <w:t>V.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Phase 1 fails  -&gt;  orphaned Parquet, no commits, every table unchanged</w:t>
        <w:br/>
        <w:t>Phase 2 fails  -&gt;  some tables at the new version, some at the old</w:t>
      </w:r>
    </w:p>
    <w:p>
      <w:pPr>
        <w:spacing w:line="384" w:lineRule="auto" w:after="120"/>
        <w:jc w:val="both"/>
      </w:pPr>
      <w:r>
        <w:rPr>
          <w:rFonts w:ascii="Times New Roman" w:hAnsi="Times New Roman" w:eastAsia="Batang"/>
          <w:sz w:val="22"/>
        </w:rPr>
        <w:t>[Figure 5-1] State after a failed run</w:t>
      </w:r>
    </w:p>
    <w:p>
      <w:pPr>
        <w:spacing w:line="384" w:lineRule="auto" w:after="120"/>
        <w:jc w:val="both"/>
      </w:pPr>
      <w:r>
        <w:rPr>
          <w:rFonts w:ascii="Times New Roman" w:hAnsi="Times New Roman" w:eastAsia="Batang"/>
          <w:sz w:val="22"/>
        </w:rPr>
        <w:t xml:space="preserve">This is the property that makes recovery simple. The load is two-phase: the entire dump is decoded and staged with </w:t>
      </w:r>
      <w:r>
        <w:rPr>
          <w:rFonts w:ascii="Times New Roman" w:hAnsi="Times New Roman" w:eastAsia="Batang"/>
          <w:b/>
          <w:sz w:val="22"/>
        </w:rPr>
        <w:t>nothing committed</w:t>
      </w:r>
      <w:r>
        <w:rPr>
          <w:rFonts w:ascii="Times New Roman" w:hAnsi="Times New Roman" w:eastAsia="Batang"/>
          <w:sz w:val="22"/>
        </w:rPr>
        <w:t>, and only once the stream has been consumed cleanly is every table committed. A failure during the long decode phase therefore leaves no visible change at all.</w:t>
      </w:r>
    </w:p>
    <w:p>
      <w:pPr>
        <w:spacing w:line="384" w:lineRule="auto" w:after="120"/>
        <w:jc w:val="both"/>
      </w:pPr>
      <w:r>
        <w:rPr>
          <w:rFonts w:ascii="Times New Roman" w:hAnsi="Times New Roman" w:eastAsia="Batang"/>
          <w:sz w:val="22"/>
        </w:rPr>
        <w:t xml:space="preserve">Phase 2 is a metadata-only burst at the very end, and it is the only window in which a partial result is observable. It is short, and it is the least failure-prone part of the pipeline, but it is not atomic across tables. Delta has no cross-table transaction. If strict cross-table atomicity is ever required, the pattern is a manifest table, discussed in </w:t>
      </w:r>
      <w:r>
        <w:rPr>
          <w:rFonts w:ascii="Consolas" w:hAnsi="Consolas" w:eastAsia="Consolas"/>
          <w:sz w:val="18"/>
        </w:rPr>
        <w:t>architecture.md</w:t>
      </w:r>
      <w:r>
        <w:rPr>
          <w:rFonts w:ascii="Times New Roman" w:hAnsi="Times New Roman" w:eastAsia="Batang"/>
          <w:sz w:val="22"/>
        </w:rPr>
        <w:t>, Chapter VI, Section 1.</w:t>
      </w:r>
    </w:p>
    <w:p>
      <w:pPr>
        <w:pStyle w:val="Heading2"/>
      </w:pPr>
      <w:r>
        <w:rPr>
          <w:rFonts w:ascii="Times New Roman" w:hAnsi="Times New Roman" w:eastAsia="Batang"/>
          <w:b/>
          <w:color w:val="000000"/>
          <w:sz w:val="24"/>
        </w:rPr>
        <w:t>2. Re-running a failed load</w:t>
      </w:r>
    </w:p>
    <w:p>
      <w:pPr>
        <w:spacing w:line="384" w:lineRule="auto" w:after="120"/>
        <w:jc w:val="both"/>
      </w:pPr>
      <w:r>
        <w:rPr>
          <w:rFonts w:ascii="Times New Roman" w:hAnsi="Times New Roman" w:eastAsia="Batang"/>
          <w:b/>
          <w:sz w:val="22"/>
        </w:rPr>
        <w:t>Simply run it again.</w:t>
      </w:r>
      <w:r>
        <w:rPr>
          <w:rFonts w:ascii="Times New Roman" w:hAnsi="Times New Roman" w:eastAsia="Batang"/>
          <w:sz w:val="22"/>
        </w:rPr>
        <w:t xml:space="preserve"> In </w:t>
      </w:r>
      <w:r>
        <w:rPr>
          <w:rFonts w:ascii="Consolas" w:hAnsi="Consolas" w:eastAsia="Consolas"/>
          <w:sz w:val="18"/>
        </w:rPr>
        <w:t>overwrite</w:t>
      </w:r>
      <w:r>
        <w:rPr>
          <w:rFonts w:ascii="Times New Roman" w:hAnsi="Times New Roman" w:eastAsia="Batang"/>
          <w:sz w:val="22"/>
        </w:rPr>
        <w:t xml:space="preserve"> mode the load is idempotent: a re-run replaces whatever the previous attempt left, and the previous attempt committed nothing.</w:t>
      </w:r>
    </w:p>
    <w:p>
      <w:pPr>
        <w:spacing w:line="384" w:lineRule="auto" w:after="120"/>
        <w:jc w:val="both"/>
      </w:pPr>
      <w:r>
        <w:rPr>
          <w:rFonts w:ascii="Times New Roman" w:hAnsi="Times New Roman" w:eastAsia="Batang"/>
          <w:sz w:val="22"/>
        </w:rPr>
        <w:t xml:space="preserve">There is no cleanup step and no state to reset. The orphaned files from the failed attempt are collected by the next </w:t>
      </w:r>
      <w:r>
        <w:rPr>
          <w:rFonts w:ascii="Consolas" w:hAnsi="Consolas" w:eastAsia="Consolas"/>
          <w:sz w:val="18"/>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The one case needing thought is a failure partway through Phase 2, which leaves some tables new and some old. Re-running fixes it, because every table is rewritten from the same dump. Do not attempt to re-run only the tables that failed unless you still have that day's dump and are certain of which ones they were.</w:t>
      </w:r>
    </w:p>
    <w:p>
      <w:pPr>
        <w:pStyle w:val="Heading2"/>
      </w:pPr>
      <w:r>
        <w:rPr>
          <w:rFonts w:ascii="Times New Roman" w:hAnsi="Times New Roman" w:eastAsia="Batang"/>
          <w:b/>
          <w:color w:val="000000"/>
          <w:sz w:val="24"/>
        </w:rPr>
        <w:t>3. Diagnosing by exception</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Exception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w:t>
            </w:r>
            <w:r>
              <w:rPr>
                <w:rFonts w:ascii="Times New Roman" w:hAnsi="Times New Roman" w:eastAsia="Batang"/>
                <w:sz w:val="22"/>
              </w:rPr>
              <w:t xml:space="preserve">, unterminated </w:t>
            </w:r>
            <w:r>
              <w:rPr>
                <w:rFonts w:ascii="Consolas" w:hAnsi="Consolas" w:eastAsia="Consolas"/>
                <w:sz w:val="18"/>
              </w:rPr>
              <w:t>COPY</w:t>
            </w:r>
          </w:p>
        </w:tc>
        <w:tc>
          <w:tcPr>
            <w:tcW w:type="dxa" w:w="3135"/>
          </w:tcPr>
          <w:p>
            <w:r>
              <w:rPr>
                <w:rFonts w:ascii="Times New Roman" w:hAnsi="Times New Roman" w:eastAsia="Batang"/>
                <w:sz w:val="22"/>
              </w:rPr>
              <w:t>The transfer was truncated</w:t>
            </w:r>
          </w:p>
        </w:tc>
        <w:tc>
          <w:tcPr>
            <w:tcW w:type="dxa" w:w="3135"/>
          </w:tcPr>
          <w:p>
            <w:r>
              <w:rPr>
                <w:rFonts w:ascii="Times New Roman" w:hAnsi="Times New Roman" w:eastAsia="Batang"/>
                <w:sz w:val="22"/>
              </w:rPr>
              <w:t>Check the delivered file size against what the sender reports. Re-fetch</w:t>
            </w:r>
          </w:p>
        </w:tc>
      </w:tr>
      <w:tr>
        <w:tc>
          <w:tcPr>
            <w:tcW w:type="dxa" w:w="3135"/>
          </w:tcPr>
          <w:p>
            <w:r>
              <w:rPr>
                <w:rFonts w:ascii="Consolas" w:hAnsi="Consolas" w:eastAsia="Consolas"/>
                <w:sz w:val="18"/>
              </w:rPr>
              <w:t>ValueError</w:t>
            </w:r>
            <w:r>
              <w:rPr>
                <w:rFonts w:ascii="Times New Roman" w:hAnsi="Times New Roman" w:eastAsia="Batang"/>
                <w:sz w:val="22"/>
              </w:rPr>
              <w:t xml:space="preserve">, unqualified </w:t>
            </w:r>
            <w:r>
              <w:rPr>
                <w:rFonts w:ascii="Consolas" w:hAnsi="Consolas" w:eastAsia="Consolas"/>
                <w:sz w:val="18"/>
              </w:rPr>
              <w:t>pg_dump</w:t>
            </w:r>
            <w:r>
              <w:rPr>
                <w:rFonts w:ascii="Times New Roman" w:hAnsi="Times New Roman" w:eastAsia="Batang"/>
                <w:sz w:val="22"/>
              </w:rPr>
              <w:t xml:space="preserve"> major</w:t>
            </w:r>
          </w:p>
        </w:tc>
        <w:tc>
          <w:tcPr>
            <w:tcW w:type="dxa" w:w="3135"/>
          </w:tcPr>
          <w:p>
            <w:r>
              <w:rPr>
                <w:rFonts w:ascii="Times New Roman" w:hAnsi="Times New Roman" w:eastAsia="Batang"/>
                <w:sz w:val="22"/>
              </w:rPr>
              <w:t>The sender upgraded PostgreSQL</w:t>
            </w:r>
          </w:p>
        </w:tc>
        <w:tc>
          <w:tcPr>
            <w:tcW w:type="dxa" w:w="3135"/>
          </w:tcPr>
          <w:p>
            <w:r>
              <w:rPr>
                <w:rFonts w:ascii="Times New Roman" w:hAnsi="Times New Roman" w:eastAsia="Batang"/>
                <w:sz w:val="22"/>
              </w:rPr>
              <w:t xml:space="preserve">See Chapter VII, Section 1. Do not simply raise </w:t>
            </w:r>
            <w:r>
              <w:rPr>
                <w:rFonts w:ascii="Consolas" w:hAnsi="Consolas" w:eastAsia="Consolas"/>
                <w:sz w:val="18"/>
              </w:rPr>
              <w:t>expect_pg_major</w:t>
            </w:r>
          </w:p>
        </w:tc>
      </w:tr>
      <w:tr>
        <w:tc>
          <w:tcPr>
            <w:tcW w:type="dxa" w:w="3135"/>
          </w:tcPr>
          <w:p>
            <w:r>
              <w:rPr>
                <w:rFonts w:ascii="Consolas" w:hAnsi="Consolas" w:eastAsia="Consolas"/>
                <w:sz w:val="18"/>
              </w:rPr>
              <w:t>ValueError</w:t>
            </w:r>
            <w:r>
              <w:rPr>
                <w:rFonts w:ascii="Times New Roman" w:hAnsi="Times New Roman" w:eastAsia="Batang"/>
                <w:sz w:val="22"/>
              </w:rPr>
              <w:t>, field count mismatch</w:t>
            </w:r>
          </w:p>
        </w:tc>
        <w:tc>
          <w:tcPr>
            <w:tcW w:type="dxa" w:w="3135"/>
          </w:tcPr>
          <w:p>
            <w:r>
              <w:rPr>
                <w:rFonts w:ascii="Times New Roman" w:hAnsi="Times New Roman" w:eastAsia="Batang"/>
                <w:sz w:val="22"/>
              </w:rPr>
              <w:t>The dump is malformed or the DDL was misparsed</w:t>
            </w:r>
          </w:p>
        </w:tc>
        <w:tc>
          <w:tcPr>
            <w:tcW w:type="dxa" w:w="3135"/>
          </w:tcPr>
          <w:p>
            <w:r>
              <w:rPr>
                <w:rFonts w:ascii="Times New Roman" w:hAnsi="Times New Roman" w:eastAsia="Batang"/>
                <w:sz w:val="22"/>
              </w:rPr>
              <w:t>Capture the table name and raise it with the sender. This is not tuneable</w:t>
            </w:r>
          </w:p>
        </w:tc>
      </w:tr>
      <w:tr>
        <w:tc>
          <w:tcPr>
            <w:tcW w:type="dxa" w:w="3135"/>
          </w:tcPr>
          <w:p>
            <w:r>
              <w:rPr>
                <w:rFonts w:ascii="Consolas" w:hAnsi="Consolas" w:eastAsia="Consolas"/>
                <w:sz w:val="18"/>
              </w:rPr>
              <w:t>ValueError</w:t>
            </w:r>
            <w:r>
              <w:rPr>
                <w:rFonts w:ascii="Times New Roman" w:hAnsi="Times New Roman" w:eastAsia="Batang"/>
                <w:sz w:val="22"/>
              </w:rPr>
              <w:t>, unsafe table name</w:t>
            </w:r>
          </w:p>
        </w:tc>
        <w:tc>
          <w:tcPr>
            <w:tcW w:type="dxa" w:w="3135"/>
          </w:tcPr>
          <w:p>
            <w:r>
              <w:rPr>
                <w:rFonts w:ascii="Times New Roman" w:hAnsi="Times New Roman" w:eastAsia="Batang"/>
                <w:sz w:val="22"/>
              </w:rPr>
              <w:t>A table name contains a character the path mapping rejects</w:t>
            </w:r>
          </w:p>
        </w:tc>
        <w:tc>
          <w:tcPr>
            <w:tcW w:type="dxa" w:w="3135"/>
          </w:tcPr>
          <w:p>
            <w:r>
              <w:rPr>
                <w:rFonts w:ascii="Times New Roman" w:hAnsi="Times New Roman" w:eastAsia="Batang"/>
                <w:sz w:val="22"/>
              </w:rPr>
              <w:t xml:space="preserve">See </w:t>
            </w:r>
            <w:r>
              <w:rPr>
                <w:rFonts w:ascii="Consolas" w:hAnsi="Consolas" w:eastAsia="Consolas"/>
                <w:sz w:val="18"/>
              </w:rPr>
              <w:t>api.md</w:t>
            </w:r>
            <w:r>
              <w:rPr>
                <w:rFonts w:ascii="Times New Roman" w:hAnsi="Times New Roman" w:eastAsia="Batang"/>
                <w:sz w:val="22"/>
              </w:rPr>
              <w:t>, Chapter V, Section 3</w:t>
            </w:r>
          </w:p>
        </w:tc>
      </w:tr>
      <w:tr>
        <w:tc>
          <w:tcPr>
            <w:tcW w:type="dxa" w:w="3135"/>
          </w:tcPr>
          <w:p>
            <w:r>
              <w:rPr>
                <w:rFonts w:ascii="Consolas" w:hAnsi="Consolas" w:eastAsia="Consolas"/>
                <w:sz w:val="18"/>
              </w:rPr>
              <w:t>ValueError</w:t>
            </w:r>
            <w:r>
              <w:rPr>
                <w:rFonts w:ascii="Times New Roman" w:hAnsi="Times New Roman" w:eastAsia="Batang"/>
                <w:sz w:val="22"/>
              </w:rPr>
              <w:t>, field or row too large</w:t>
            </w:r>
          </w:p>
        </w:tc>
        <w:tc>
          <w:tcPr>
            <w:tcW w:type="dxa" w:w="3135"/>
          </w:tcPr>
          <w:p>
            <w:r>
              <w:rPr>
                <w:rFonts w:ascii="Times New Roman" w:hAnsi="Times New Roman" w:eastAsia="Batang"/>
                <w:sz w:val="22"/>
              </w:rPr>
              <w:t>A legitimately wide row, or a hostile dump</w:t>
            </w:r>
          </w:p>
        </w:tc>
        <w:tc>
          <w:tcPr>
            <w:tcW w:type="dxa" w:w="3135"/>
          </w:tcPr>
          <w:p>
            <w:r>
              <w:rPr>
                <w:rFonts w:ascii="Times New Roman" w:hAnsi="Times New Roman" w:eastAsia="Batang"/>
                <w:sz w:val="22"/>
              </w:rPr>
              <w:t xml:space="preserve">Raise </w:t>
            </w:r>
            <w:r>
              <w:rPr>
                <w:rFonts w:ascii="Consolas" w:hAnsi="Consolas" w:eastAsia="Consolas"/>
                <w:sz w:val="18"/>
              </w:rPr>
              <w:t>max_field_bytes</w:t>
            </w:r>
            <w:r>
              <w:rPr>
                <w:rFonts w:ascii="Times New Roman" w:hAnsi="Times New Roman" w:eastAsia="Batang"/>
                <w:sz w:val="22"/>
              </w:rPr>
              <w:t xml:space="preserve"> or </w:t>
            </w:r>
            <w:r>
              <w:rPr>
                <w:rFonts w:ascii="Consolas" w:hAnsi="Consolas" w:eastAsia="Consolas"/>
                <w:sz w:val="18"/>
              </w:rPr>
              <w:t>max_row_bytes</w:t>
            </w:r>
            <w:r>
              <w:rPr>
                <w:rFonts w:ascii="Times New Roman" w:hAnsi="Times New Roman" w:eastAsia="Batang"/>
                <w:sz w:val="22"/>
              </w:rPr>
              <w:t xml:space="preserve"> only after confirming the row is genuine</w:t>
            </w:r>
          </w:p>
        </w:tc>
      </w:tr>
      <w:tr>
        <w:tc>
          <w:tcPr>
            <w:tcW w:type="dxa" w:w="3135"/>
          </w:tcPr>
          <w:p>
            <w:r>
              <w:rPr>
                <w:rFonts w:ascii="Consolas" w:hAnsi="Consolas" w:eastAsia="Consolas"/>
                <w:sz w:val="18"/>
              </w:rPr>
              <w:t>RuntimeError</w:t>
            </w:r>
            <w:r>
              <w:rPr>
                <w:rFonts w:ascii="Times New Roman" w:hAnsi="Times New Roman" w:eastAsia="Batang"/>
                <w:sz w:val="22"/>
              </w:rPr>
              <w:t>, delta error</w:t>
            </w:r>
          </w:p>
        </w:tc>
        <w:tc>
          <w:tcPr>
            <w:tcW w:type="dxa" w:w="3135"/>
          </w:tcPr>
          <w:p>
            <w:r>
              <w:rPr>
                <w:rFonts w:ascii="Times New Roman" w:hAnsi="Times New Roman" w:eastAsia="Batang"/>
                <w:sz w:val="22"/>
              </w:rPr>
              <w:t>Storage, permissions, or a concurrent writer</w:t>
            </w:r>
          </w:p>
        </w:tc>
        <w:tc>
          <w:tcPr>
            <w:tcW w:type="dxa" w:w="3135"/>
          </w:tcPr>
          <w:p>
            <w:r>
              <w:rPr>
                <w:rFonts w:ascii="Times New Roman" w:hAnsi="Times New Roman" w:eastAsia="Batang"/>
                <w:sz w:val="22"/>
              </w:rPr>
              <w:t>Check credentials and that nothing else writes to the prefix</w:t>
            </w:r>
          </w:p>
        </w:tc>
      </w:tr>
      <w:tr>
        <w:tc>
          <w:tcPr>
            <w:tcW w:type="dxa" w:w="3135"/>
          </w:tcPr>
          <w:p>
            <w:r>
              <w:rPr>
                <w:rFonts w:ascii="Consolas" w:hAnsi="Consolas" w:eastAsia="Consolas"/>
                <w:sz w:val="18"/>
              </w:rPr>
              <w:t>RuntimeError</w:t>
            </w:r>
            <w:r>
              <w:rPr>
                <w:rFonts w:ascii="Times New Roman" w:hAnsi="Times New Roman" w:eastAsia="Batang"/>
                <w:sz w:val="22"/>
              </w:rPr>
              <w:t>, internal invariant</w:t>
            </w:r>
          </w:p>
        </w:tc>
        <w:tc>
          <w:tcPr>
            <w:tcW w:type="dxa" w:w="3135"/>
          </w:tcPr>
          <w:p>
            <w:r>
              <w:rPr>
                <w:rFonts w:ascii="Times New Roman" w:hAnsi="Times New Roman" w:eastAsia="Batang"/>
                <w:sz w:val="22"/>
              </w:rPr>
              <w:t>A defect in this library</w:t>
            </w:r>
          </w:p>
        </w:tc>
        <w:tc>
          <w:tcPr>
            <w:tcW w:type="dxa" w:w="3135"/>
          </w:tcPr>
          <w:p>
            <w:r>
              <w:rPr>
                <w:rFonts w:ascii="Times New Roman" w:hAnsi="Times New Roman" w:eastAsia="Batang"/>
                <w:sz w:val="22"/>
              </w:rPr>
              <w:t>File it with the table name. Do not retry blindly</w:t>
            </w:r>
          </w:p>
        </w:tc>
      </w:tr>
      <w:tr>
        <w:tc>
          <w:tcPr>
            <w:tcW w:type="dxa" w:w="3135"/>
          </w:tcPr>
          <w:p>
            <w:r>
              <w:rPr>
                <w:rFonts w:ascii="Consolas" w:hAnsi="Consolas" w:eastAsia="Consolas"/>
                <w:sz w:val="18"/>
              </w:rPr>
              <w:t>OSError</w:t>
            </w:r>
          </w:p>
        </w:tc>
        <w:tc>
          <w:tcPr>
            <w:tcW w:type="dxa" w:w="3135"/>
          </w:tcPr>
          <w:p>
            <w:r>
              <w:rPr>
                <w:rFonts w:ascii="Times New Roman" w:hAnsi="Times New Roman" w:eastAsia="Batang"/>
                <w:sz w:val="22"/>
              </w:rPr>
              <w:t>The dump is missing or unreadable</w:t>
            </w:r>
          </w:p>
        </w:tc>
        <w:tc>
          <w:tcPr>
            <w:tcW w:type="dxa" w:w="3135"/>
          </w:tcPr>
          <w:p>
            <w:r>
              <w:rPr>
                <w:rFonts w:ascii="Times New Roman" w:hAnsi="Times New Roman" w:eastAsia="Batang"/>
                <w:sz w:val="22"/>
              </w:rPr>
              <w:t>Check the landing path and permissions</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timed out</w:t>
            </w:r>
          </w:p>
        </w:tc>
        <w:tc>
          <w:tcPr>
            <w:tcW w:type="dxa" w:w="3135"/>
          </w:tcPr>
          <w:p>
            <w:r>
              <w:rPr>
                <w:rFonts w:ascii="Times New Roman" w:hAnsi="Times New Roman" w:eastAsia="Batang"/>
                <w:sz w:val="22"/>
              </w:rPr>
              <w:t>Nothing was committed. Re-run</w:t>
            </w:r>
          </w:p>
        </w:tc>
      </w:tr>
    </w:tbl>
    <w:p/>
    <w:p>
      <w:pPr>
        <w:pStyle w:val="Heading2"/>
      </w:pPr>
      <w:r>
        <w:rPr>
          <w:rFonts w:ascii="Times New Roman" w:hAnsi="Times New Roman" w:eastAsia="Batang"/>
          <w:b/>
          <w:color w:val="000000"/>
          <w:sz w:val="24"/>
        </w:rPr>
        <w:t>4. Failures that need the sender</w:t>
      </w:r>
    </w:p>
    <w:p>
      <w:pPr>
        <w:spacing w:line="384" w:lineRule="auto" w:after="120"/>
        <w:jc w:val="both"/>
      </w:pPr>
      <w:r>
        <w:rPr>
          <w:rFonts w:ascii="Times New Roman" w:hAnsi="Times New Roman" w:eastAsia="Batang"/>
          <w:sz w:val="22"/>
        </w:rPr>
        <w:t>Three failures are not fixable on this side, and recognising them quickly saves hours:</w:t>
      </w:r>
    </w:p>
    <w:p>
      <w:pPr>
        <w:pStyle w:val="ListBullet"/>
        <w:spacing w:line="384" w:lineRule="auto" w:after="120"/>
      </w:pPr>
      <w:r>
        <w:rPr>
          <w:rFonts w:ascii="Times New Roman" w:hAnsi="Times New Roman" w:eastAsia="Batang"/>
          <w:sz w:val="22"/>
        </w:rPr>
        <w:t xml:space="preserve">A truncated </w:t>
      </w:r>
      <w:r>
        <w:rPr>
          <w:rFonts w:ascii="Consolas" w:hAnsi="Consolas" w:eastAsia="Consolas"/>
          <w:sz w:val="18"/>
        </w:rPr>
        <w:t>COPY</w:t>
      </w:r>
      <w:r>
        <w:rPr>
          <w:rFonts w:ascii="Times New Roman" w:hAnsi="Times New Roman" w:eastAsia="Batang"/>
          <w:sz w:val="22"/>
        </w:rPr>
        <w:t xml:space="preserve"> block means the file is incomplete. Plain dumps carry no row counts,</w:t>
      </w:r>
    </w:p>
    <w:p>
      <w:pPr>
        <w:spacing w:line="384" w:lineRule="auto" w:after="120"/>
        <w:jc w:val="both"/>
      </w:pPr>
      <w:r>
        <w:rPr>
          <w:rFonts w:ascii="Times New Roman" w:hAnsi="Times New Roman" w:eastAsia="Batang"/>
          <w:sz w:val="22"/>
        </w:rPr>
        <w:t>so this structural check is the only truncation detector there is.</w:t>
      </w:r>
    </w:p>
    <w:p>
      <w:pPr>
        <w:pStyle w:val="ListBullet"/>
        <w:spacing w:line="384" w:lineRule="auto" w:after="120"/>
      </w:pPr>
      <w:r>
        <w:rPr>
          <w:rFonts w:ascii="Times New Roman" w:hAnsi="Times New Roman" w:eastAsia="Batang"/>
          <w:sz w:val="22"/>
        </w:rPr>
        <w:t>A field count mismatch means the dump contradicts its own DDL.</w:t>
      </w:r>
    </w:p>
    <w:p>
      <w:pPr>
        <w:pStyle w:val="ListBullet"/>
        <w:spacing w:line="384" w:lineRule="auto" w:after="120"/>
      </w:pPr>
      <w:r>
        <w:rPr>
          <w:rFonts w:ascii="Times New Roman" w:hAnsi="Times New Roman" w:eastAsia="Batang"/>
          <w:sz w:val="22"/>
        </w:rPr>
        <w:t>A text column carrying bytes that are not valid UTF-8 means the source database has an</w:t>
      </w:r>
    </w:p>
    <w:p>
      <w:pPr>
        <w:spacing w:line="384" w:lineRule="auto" w:after="120"/>
        <w:jc w:val="both"/>
      </w:pPr>
      <w:r>
        <w:rPr>
          <w:rFonts w:ascii="Times New Roman" w:hAnsi="Times New Roman" w:eastAsia="Batang"/>
          <w:sz w:val="22"/>
        </w:rPr>
        <w:t>encoding problem. Arrow strings are UTF-8, and substituting replacement characters would corrupt the values silently, so the load fails instead.</w:t>
      </w:r>
    </w:p>
    <w:p/>
    <w:p>
      <w:pPr>
        <w:pStyle w:val="Heading1"/>
      </w:pPr>
      <w:r>
        <w:rPr>
          <w:rFonts w:ascii="Times New Roman" w:hAnsi="Times New Roman" w:eastAsia="Batang"/>
          <w:b/>
          <w:color w:val="000000"/>
          <w:sz w:val="26"/>
        </w:rPr>
        <w:t>VI. Monitoring</w:t>
      </w:r>
    </w:p>
    <w:p>
      <w:pPr>
        <w:pStyle w:val="Heading2"/>
      </w:pPr>
      <w:r>
        <w:rPr>
          <w:rFonts w:ascii="Times New Roman" w:hAnsi="Times New Roman" w:eastAsia="Batang"/>
          <w:b/>
          <w:color w:val="000000"/>
          <w:sz w:val="24"/>
        </w:rPr>
        <w:t>1. What to record every run</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Values worth recording per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Value</w:t>
            </w:r>
          </w:p>
        </w:tc>
        <w:tc>
          <w:tcPr>
            <w:tcW w:type="dxa" w:w="4702"/>
          </w:tcPr>
          <w:p>
            <w:pPr>
              <w:jc w:val="center"/>
            </w:pPr>
            <w:r>
              <w:rPr>
                <w:rFonts w:ascii="Times New Roman" w:hAnsi="Times New Roman" w:eastAsia="Batang"/>
                <w:b/>
                <w:sz w:val="22"/>
              </w:rPr>
              <w:t>Why</w:t>
            </w:r>
          </w:p>
        </w:tc>
      </w:tr>
      <w:tr>
        <w:tc>
          <w:tcPr>
            <w:tcW w:type="dxa" w:w="4702"/>
          </w:tcPr>
          <w:p>
            <w:r>
              <w:rPr>
                <w:rFonts w:ascii="Consolas" w:hAnsi="Consolas" w:eastAsia="Consolas"/>
                <w:sz w:val="18"/>
              </w:rPr>
              <w:t>report.dumped_by</w:t>
            </w:r>
            <w:r>
              <w:rPr>
                <w:rFonts w:ascii="Times New Roman" w:hAnsi="Times New Roman" w:eastAsia="Batang"/>
                <w:sz w:val="22"/>
              </w:rPr>
              <w:t xml:space="preserve">, </w:t>
            </w:r>
            <w:r>
              <w:rPr>
                <w:rFonts w:ascii="Consolas" w:hAnsi="Consolas" w:eastAsia="Consolas"/>
                <w:sz w:val="18"/>
              </w:rPr>
              <w:t>report.from_database</w:t>
            </w:r>
          </w:p>
        </w:tc>
        <w:tc>
          <w:tcPr>
            <w:tcW w:type="dxa" w:w="4702"/>
          </w:tcPr>
          <w:p>
            <w:r>
              <w:rPr>
                <w:rFonts w:ascii="Times New Roman" w:hAnsi="Times New Roman" w:eastAsia="Batang"/>
                <w:sz w:val="22"/>
              </w:rPr>
              <w:t>The only version signal a plain dump carries. Answers "what changed" after the fact</w:t>
            </w:r>
          </w:p>
        </w:tc>
      </w:tr>
      <w:tr>
        <w:tc>
          <w:tcPr>
            <w:tcW w:type="dxa" w:w="4702"/>
          </w:tcPr>
          <w:p>
            <w:r>
              <w:rPr>
                <w:rFonts w:ascii="Consolas" w:hAnsi="Consolas" w:eastAsia="Consolas"/>
                <w:sz w:val="18"/>
              </w:rPr>
              <w:t>report.bytes_read</w:t>
            </w:r>
          </w:p>
        </w:tc>
        <w:tc>
          <w:tcPr>
            <w:tcW w:type="dxa" w:w="4702"/>
          </w:tcPr>
          <w:p>
            <w:r>
              <w:rPr>
                <w:rFonts w:ascii="Times New Roman" w:hAnsi="Times New Roman" w:eastAsia="Batang"/>
                <w:sz w:val="22"/>
              </w:rPr>
              <w:t>Compare against the delivered file size. A mismatch means truncation</w:t>
            </w:r>
          </w:p>
        </w:tc>
      </w:tr>
      <w:tr>
        <w:tc>
          <w:tcPr>
            <w:tcW w:type="dxa" w:w="4702"/>
          </w:tcPr>
          <w:p>
            <w:r>
              <w:rPr>
                <w:rFonts w:ascii="Consolas" w:hAnsi="Consolas" w:eastAsia="Consolas"/>
                <w:sz w:val="18"/>
              </w:rPr>
              <w:t>report.total_rows</w:t>
            </w:r>
          </w:p>
        </w:tc>
        <w:tc>
          <w:tcPr>
            <w:tcW w:type="dxa" w:w="4702"/>
          </w:tcPr>
          <w:p>
            <w:r>
              <w:rPr>
                <w:rFonts w:ascii="Times New Roman" w:hAnsi="Times New Roman" w:eastAsia="Batang"/>
                <w:sz w:val="22"/>
              </w:rPr>
              <w:t>Compare against yesterday. A large drop is a signal even when the load succeeded</w:t>
            </w:r>
          </w:p>
        </w:tc>
      </w:tr>
      <w:tr>
        <w:tc>
          <w:tcPr>
            <w:tcW w:type="dxa" w:w="4702"/>
          </w:tcPr>
          <w:p>
            <w:r>
              <w:rPr>
                <w:rFonts w:ascii="Consolas" w:hAnsi="Consolas" w:eastAsia="Consolas"/>
                <w:sz w:val="18"/>
              </w:rPr>
              <w:t>len(report.tables)</w:t>
            </w:r>
          </w:p>
        </w:tc>
        <w:tc>
          <w:tcPr>
            <w:tcW w:type="dxa" w:w="4702"/>
          </w:tcPr>
          <w:p>
            <w:r>
              <w:rPr>
                <w:rFonts w:ascii="Times New Roman" w:hAnsi="Times New Roman" w:eastAsia="Batang"/>
                <w:sz w:val="22"/>
              </w:rPr>
              <w:t>The table set drifts. A change is worth knowing about</w:t>
            </w:r>
          </w:p>
        </w:tc>
      </w:tr>
      <w:tr>
        <w:tc>
          <w:tcPr>
            <w:tcW w:type="dxa" w:w="4702"/>
          </w:tcPr>
          <w:p>
            <w:r>
              <w:rPr>
                <w:rFonts w:ascii="Times New Roman" w:hAnsi="Times New Roman" w:eastAsia="Batang"/>
                <w:sz w:val="22"/>
              </w:rPr>
              <w:t xml:space="preserve">Per-table </w:t>
            </w:r>
            <w:r>
              <w:rPr>
                <w:rFonts w:ascii="Consolas" w:hAnsi="Consolas" w:eastAsia="Consolas"/>
                <w:sz w:val="18"/>
              </w:rPr>
              <w:t>rows</w:t>
            </w:r>
          </w:p>
        </w:tc>
        <w:tc>
          <w:tcPr>
            <w:tcW w:type="dxa" w:w="4702"/>
          </w:tcPr>
          <w:p>
            <w:r>
              <w:rPr>
                <w:rFonts w:ascii="Times New Roman" w:hAnsi="Times New Roman" w:eastAsia="Batang"/>
                <w:sz w:val="22"/>
              </w:rPr>
              <w:t>Where a drop actually happened</w:t>
            </w:r>
          </w:p>
        </w:tc>
      </w:tr>
      <w:tr>
        <w:tc>
          <w:tcPr>
            <w:tcW w:type="dxa" w:w="4702"/>
          </w:tcPr>
          <w:p>
            <w:r>
              <w:rPr>
                <w:rFonts w:ascii="Times New Roman" w:hAnsi="Times New Roman" w:eastAsia="Batang"/>
                <w:sz w:val="22"/>
              </w:rPr>
              <w:t xml:space="preserve">Per-table </w:t>
            </w:r>
            <w:r>
              <w:rPr>
                <w:rFonts w:ascii="Consolas" w:hAnsi="Consolas" w:eastAsia="Consolas"/>
                <w:sz w:val="18"/>
              </w:rPr>
              <w:t>text_fallback_columns</w:t>
            </w:r>
          </w:p>
        </w:tc>
        <w:tc>
          <w:tcPr>
            <w:tcW w:type="dxa" w:w="4702"/>
          </w:tcPr>
          <w:p>
            <w:r>
              <w:rPr>
                <w:rFonts w:ascii="Times New Roman" w:hAnsi="Times New Roman" w:eastAsia="Batang"/>
                <w:sz w:val="22"/>
              </w:rPr>
              <w:t>A new entry means the sender introduced a type this build does not recognise</w:t>
            </w:r>
          </w:p>
        </w:tc>
      </w:tr>
      <w:tr>
        <w:tc>
          <w:tcPr>
            <w:tcW w:type="dxa" w:w="4702"/>
          </w:tcPr>
          <w:p>
            <w:r>
              <w:rPr>
                <w:rFonts w:ascii="Times New Roman" w:hAnsi="Times New Roman" w:eastAsia="Batang"/>
                <w:sz w:val="22"/>
              </w:rPr>
              <w:t xml:space="preserve">Per-table </w:t>
            </w:r>
            <w:r>
              <w:rPr>
                <w:rFonts w:ascii="Consolas" w:hAnsi="Consolas" w:eastAsia="Consolas"/>
                <w:sz w:val="18"/>
              </w:rPr>
              <w:t>null_substitutions</w:t>
            </w:r>
          </w:p>
        </w:tc>
        <w:tc>
          <w:tcPr>
            <w:tcW w:type="dxa" w:w="4702"/>
          </w:tcPr>
          <w:p>
            <w:r>
              <w:rPr>
                <w:rFonts w:ascii="Times New Roman" w:hAnsi="Times New Roman" w:eastAsia="Batang"/>
                <w:sz w:val="22"/>
              </w:rPr>
              <w:t>A rising count means a column wants a different mapping</w:t>
            </w:r>
          </w:p>
        </w:tc>
      </w:tr>
      <w:tr>
        <w:tc>
          <w:tcPr>
            <w:tcW w:type="dxa" w:w="4702"/>
          </w:tcPr>
          <w:p>
            <w:r>
              <w:rPr>
                <w:rFonts w:ascii="Times New Roman" w:hAnsi="Times New Roman" w:eastAsia="Batang"/>
                <w:sz w:val="22"/>
              </w:rPr>
              <w:t>Wall-clock duration</w:t>
            </w:r>
          </w:p>
        </w:tc>
        <w:tc>
          <w:tcPr>
            <w:tcW w:type="dxa" w:w="4702"/>
          </w:tcPr>
          <w:p>
            <w:r>
              <w:rPr>
                <w:rFonts w:ascii="Times New Roman" w:hAnsi="Times New Roman" w:eastAsia="Batang"/>
                <w:sz w:val="22"/>
              </w:rPr>
              <w:t>The trend matters more than any single run</w:t>
            </w:r>
          </w:p>
        </w:tc>
      </w:tr>
    </w:tbl>
    <w:p/>
    <w:p>
      <w:pPr>
        <w:pStyle w:val="Heading2"/>
      </w:pPr>
      <w:r>
        <w:rPr>
          <w:rFonts w:ascii="Times New Roman" w:hAnsi="Times New Roman" w:eastAsia="Batang"/>
          <w:b/>
          <w:color w:val="000000"/>
          <w:sz w:val="24"/>
        </w:rPr>
        <w:t>2. What should page someone</w:t>
      </w:r>
    </w:p>
    <w:p>
      <w:pPr>
        <w:spacing w:line="384" w:lineRule="auto" w:after="120"/>
        <w:jc w:val="both"/>
      </w:pPr>
      <w:r>
        <w:rPr>
          <w:rFonts w:ascii="Times New Roman" w:hAnsi="Times New Roman" w:eastAsia="Batang"/>
          <w:sz w:val="22"/>
        </w:rPr>
        <w:t>Page on a failed load, since the day's data is missing and the window to re-fetch from the sender may be limited.</w:t>
      </w:r>
    </w:p>
    <w:p>
      <w:pPr>
        <w:spacing w:line="384" w:lineRule="auto" w:after="120"/>
        <w:jc w:val="both"/>
      </w:pPr>
      <w:r>
        <w:rPr>
          <w:rFonts w:ascii="Times New Roman" w:hAnsi="Times New Roman" w:eastAsia="Batang"/>
          <w:sz w:val="22"/>
        </w:rPr>
        <w:t xml:space="preserve">Alert, without paging, on a row count that moves by more than an expected margin against the previous run, on a change in the table count, and on a new </w:t>
      </w:r>
      <w:r>
        <w:rPr>
          <w:rFonts w:ascii="Consolas" w:hAnsi="Consolas" w:eastAsia="Consolas"/>
          <w:sz w:val="18"/>
        </w:rPr>
        <w:t>text_fallback_columns</w:t>
      </w:r>
      <w:r>
        <w:rPr>
          <w:rFonts w:ascii="Times New Roman" w:hAnsi="Times New Roman" w:eastAsia="Batang"/>
          <w:sz w:val="22"/>
        </w:rPr>
        <w:t xml:space="preserve"> entry. None of these is an error, and all three are how schema drift announces itself.</w:t>
      </w:r>
    </w:p>
    <w:p>
      <w:pPr>
        <w:spacing w:line="384" w:lineRule="auto" w:after="120"/>
        <w:jc w:val="both"/>
      </w:pPr>
      <w:r>
        <w:rPr>
          <w:rFonts w:ascii="Times New Roman" w:hAnsi="Times New Roman" w:eastAsia="Batang"/>
          <w:sz w:val="22"/>
        </w:rPr>
        <w:t xml:space="preserve">Do not alert on </w:t>
      </w:r>
      <w:r>
        <w:rPr>
          <w:rFonts w:ascii="Consolas" w:hAnsi="Consolas" w:eastAsia="Consolas"/>
          <w:sz w:val="18"/>
        </w:rPr>
        <w:t>null_substitutions</w:t>
      </w:r>
      <w:r>
        <w:rPr>
          <w:rFonts w:ascii="Times New Roman" w:hAnsi="Times New Roman" w:eastAsia="Batang"/>
          <w:sz w:val="22"/>
        </w:rPr>
        <w:t xml:space="preserve"> alone unless the count is rising run over run.</w:t>
      </w:r>
    </w:p>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A new PostgreSQL major</w:t>
      </w:r>
    </w:p>
    <w:p>
      <w:pPr>
        <w:spacing w:line="384" w:lineRule="auto" w:after="120"/>
        <w:jc w:val="both"/>
      </w:pPr>
      <w:r>
        <w:rPr>
          <w:rFonts w:ascii="Times New Roman" w:hAnsi="Times New Roman" w:eastAsia="Batang"/>
          <w:sz w:val="22"/>
        </w:rPr>
        <w:t xml:space="preserve">Set </w:t>
      </w:r>
      <w:r>
        <w:rPr>
          <w:rFonts w:ascii="Consolas" w:hAnsi="Consolas" w:eastAsia="Consolas"/>
          <w:sz w:val="18"/>
        </w:rPr>
        <w:t>expect_pg_major</w:t>
      </w:r>
      <w:r>
        <w:rPr>
          <w:rFonts w:ascii="Times New Roman" w:hAnsi="Times New Roman" w:eastAsia="Batang"/>
          <w:sz w:val="22"/>
        </w:rPr>
        <w:t xml:space="preserve"> on every scheduled run. When the sender upgrades, the load fails immediately and loudly rather than parsing an unfamiliar dialect speculatively and committing something subtly wrong.</w:t>
      </w:r>
    </w:p>
    <w:p>
      <w:pPr>
        <w:spacing w:line="384" w:lineRule="auto" w:after="120"/>
        <w:jc w:val="both"/>
      </w:pPr>
      <w:r>
        <w:rPr>
          <w:rFonts w:ascii="Times New Roman" w:hAnsi="Times New Roman" w:eastAsia="Batang"/>
          <w:sz w:val="22"/>
        </w:rPr>
        <w:t xml:space="preserve">When that failure arrives, the correct response is </w:t>
      </w:r>
      <w:r>
        <w:rPr>
          <w:rFonts w:ascii="Times New Roman" w:hAnsi="Times New Roman" w:eastAsia="Batang"/>
          <w:b/>
          <w:sz w:val="22"/>
        </w:rPr>
        <w:t>not</w:t>
      </w:r>
      <w:r>
        <w:rPr>
          <w:rFonts w:ascii="Times New Roman" w:hAnsi="Times New Roman" w:eastAsia="Batang"/>
          <w:sz w:val="22"/>
        </w:rPr>
        <w:t xml:space="preserve"> to raise the number and re-run. It is to qualify the new major: check the new </w:t>
      </w:r>
      <w:r>
        <w:rPr>
          <w:rFonts w:ascii="Consolas" w:hAnsi="Consolas" w:eastAsia="Consolas"/>
          <w:sz w:val="18"/>
        </w:rPr>
        <w:t>pg_dump</w:t>
      </w:r>
      <w:r>
        <w:rPr>
          <w:rFonts w:ascii="Times New Roman" w:hAnsi="Times New Roman" w:eastAsia="Batang"/>
          <w:sz w:val="22"/>
        </w:rPr>
        <w:t xml:space="preserve"> output for DDL constructs the scanner does not handle, add the major to </w:t>
      </w:r>
      <w:r>
        <w:rPr>
          <w:rFonts w:ascii="Consolas" w:hAnsi="Consolas" w:eastAsia="Consolas"/>
          <w:sz w:val="18"/>
        </w:rPr>
        <w:t>SUPPORTED_MAJORS</w:t>
      </w:r>
      <w:r>
        <w:rPr>
          <w:rFonts w:ascii="Times New Roman" w:hAnsi="Times New Roman" w:eastAsia="Batang"/>
          <w:sz w:val="22"/>
        </w:rPr>
        <w:t xml:space="preserve"> in </w:t>
      </w:r>
      <w:r>
        <w:rPr>
          <w:rFonts w:ascii="Consolas" w:hAnsi="Consolas" w:eastAsia="Consolas"/>
          <w:sz w:val="18"/>
        </w:rPr>
        <w:t>scan.rs</w:t>
      </w:r>
      <w:r>
        <w:rPr>
          <w:rFonts w:ascii="Times New Roman" w:hAnsi="Times New Roman" w:eastAsia="Batang"/>
          <w:sz w:val="22"/>
        </w:rPr>
        <w:t>, extend the tests, and release a new wheel. COPY TEXT itself is stable across majors, so the risk is concentrated in DDL, which is exactly what the tripwire protects.</w:t>
      </w:r>
    </w:p>
    <w:p>
      <w:pPr>
        <w:pStyle w:val="Heading2"/>
      </w:pPr>
      <w:r>
        <w:rPr>
          <w:rFonts w:ascii="Times New Roman" w:hAnsi="Times New Roman" w:eastAsia="Batang"/>
          <w:b/>
          <w:color w:val="000000"/>
          <w:sz w:val="24"/>
        </w:rPr>
        <w:t>2. Schema drift</w:t>
      </w:r>
    </w:p>
    <w:p>
      <w:pPr>
        <w:spacing w:line="384" w:lineRule="auto" w:after="120"/>
        <w:jc w:val="both"/>
      </w:pPr>
      <w:r>
        <w:rPr>
          <w:rFonts w:ascii="Times New Roman" w:hAnsi="Times New Roman" w:eastAsia="Batang"/>
          <w:sz w:val="22"/>
        </w:rPr>
        <w:t>The sender controls the schema and will change it without notice. Three cases behave differently.</w:t>
      </w:r>
    </w:p>
    <w:p>
      <w:pPr>
        <w:pStyle w:val="ListBullet"/>
        <w:spacing w:line="384" w:lineRule="auto" w:after="120"/>
      </w:pPr>
      <w:r>
        <w:rPr>
          <w:rFonts w:ascii="Times New Roman" w:hAnsi="Times New Roman" w:eastAsia="Batang"/>
          <w:b/>
          <w:sz w:val="22"/>
        </w:rPr>
        <w:t>A new column</w:t>
      </w:r>
      <w:r>
        <w:rPr>
          <w:rFonts w:ascii="Times New Roman" w:hAnsi="Times New Roman" w:eastAsia="Batang"/>
          <w:sz w:val="22"/>
        </w:rPr>
        <w:t xml:space="preserve"> appears in both the </w:t>
      </w:r>
      <w:r>
        <w:rPr>
          <w:rFonts w:ascii="Consolas" w:hAnsi="Consolas" w:eastAsia="Consolas"/>
          <w:sz w:val="18"/>
        </w:rPr>
        <w:t>CREATE TABLE</w:t>
      </w:r>
      <w:r>
        <w:rPr>
          <w:rFonts w:ascii="Times New Roman" w:hAnsi="Times New Roman" w:eastAsia="Batang"/>
          <w:sz w:val="22"/>
        </w:rPr>
        <w:t xml:space="preserve"> and the </w:t>
      </w:r>
      <w:r>
        <w:rPr>
          <w:rFonts w:ascii="Consolas" w:hAnsi="Consolas" w:eastAsia="Consolas"/>
          <w:sz w:val="18"/>
        </w:rPr>
        <w:t>COPY</w:t>
      </w:r>
      <w:r>
        <w:rPr>
          <w:rFonts w:ascii="Times New Roman" w:hAnsi="Times New Roman" w:eastAsia="Batang"/>
          <w:sz w:val="22"/>
        </w:rPr>
        <w:t xml:space="preserve"> header, so it is</w:t>
      </w:r>
    </w:p>
    <w:p>
      <w:pPr>
        <w:spacing w:line="384" w:lineRule="auto" w:after="120"/>
        <w:jc w:val="both"/>
      </w:pPr>
      <w:r>
        <w:rPr>
          <w:rFonts w:ascii="Times New Roman" w:hAnsi="Times New Roman" w:eastAsia="Batang"/>
          <w:sz w:val="22"/>
        </w:rPr>
        <w:t xml:space="preserve">picked up automatically. In </w:t>
      </w:r>
      <w:r>
        <w:rPr>
          <w:rFonts w:ascii="Consolas" w:hAnsi="Consolas" w:eastAsia="Consolas"/>
          <w:sz w:val="18"/>
        </w:rPr>
        <w:t>overwrite</w:t>
      </w:r>
      <w:r>
        <w:rPr>
          <w:rFonts w:ascii="Times New Roman" w:hAnsi="Times New Roman" w:eastAsia="Batang"/>
          <w:sz w:val="22"/>
        </w:rPr>
        <w:t xml:space="preserve"> mode the Delta schema is replaced along with the data. In </w:t>
      </w:r>
      <w:r>
        <w:rPr>
          <w:rFonts w:ascii="Consolas" w:hAnsi="Consolas" w:eastAsia="Consolas"/>
          <w:sz w:val="18"/>
        </w:rPr>
        <w:t>append</w:t>
      </w:r>
      <w:r>
        <w:rPr>
          <w:rFonts w:ascii="Times New Roman" w:hAnsi="Times New Roman" w:eastAsia="Batang"/>
          <w:sz w:val="22"/>
        </w:rPr>
        <w:t xml:space="preserve"> mode a schema mismatch will fail the write.</w:t>
      </w:r>
    </w:p>
    <w:p>
      <w:pPr>
        <w:pStyle w:val="ListBullet"/>
        <w:spacing w:line="384" w:lineRule="auto" w:after="120"/>
      </w:pPr>
      <w:r>
        <w:rPr>
          <w:rFonts w:ascii="Times New Roman" w:hAnsi="Times New Roman" w:eastAsia="Batang"/>
          <w:b/>
          <w:sz w:val="22"/>
        </w:rPr>
        <w:t>A new type</w:t>
      </w:r>
      <w:r>
        <w:rPr>
          <w:rFonts w:ascii="Times New Roman" w:hAnsi="Times New Roman" w:eastAsia="Batang"/>
          <w:sz w:val="22"/>
        </w:rPr>
        <w:t xml:space="preserve"> this build does not recognise degrades to text and shows up in</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The load succeeds. Decide later whether the type deserves a real mapping.</w:t>
      </w:r>
    </w:p>
    <w:p>
      <w:pPr>
        <w:pStyle w:val="ListBullet"/>
        <w:spacing w:line="384" w:lineRule="auto" w:after="120"/>
      </w:pPr>
      <w:r>
        <w:rPr>
          <w:rFonts w:ascii="Times New Roman" w:hAnsi="Times New Roman" w:eastAsia="Batang"/>
          <w:b/>
          <w:sz w:val="22"/>
        </w:rPr>
        <w:t>A removed column</w:t>
      </w:r>
      <w:r>
        <w:rPr>
          <w:rFonts w:ascii="Times New Roman" w:hAnsi="Times New Roman" w:eastAsia="Batang"/>
          <w:sz w:val="22"/>
        </w:rPr>
        <w:t xml:space="preserve"> simply stops appearing. In </w:t>
      </w:r>
      <w:r>
        <w:rPr>
          <w:rFonts w:ascii="Consolas" w:hAnsi="Consolas" w:eastAsia="Consolas"/>
          <w:sz w:val="18"/>
        </w:rPr>
        <w:t>overwrite</w:t>
      </w:r>
      <w:r>
        <w:rPr>
          <w:rFonts w:ascii="Times New Roman" w:hAnsi="Times New Roman" w:eastAsia="Batang"/>
          <w:sz w:val="22"/>
        </w:rPr>
        <w:t xml:space="preserve"> mode the new schema no longer</w:t>
      </w:r>
    </w:p>
    <w:p>
      <w:pPr>
        <w:spacing w:line="384" w:lineRule="auto" w:after="120"/>
        <w:jc w:val="both"/>
      </w:pPr>
      <w:r>
        <w:rPr>
          <w:rFonts w:ascii="Times New Roman" w:hAnsi="Times New Roman" w:eastAsia="Batang"/>
          <w:sz w:val="22"/>
        </w:rPr>
        <w:t>has it. Downstream queries referencing it will break, which is the correct outcome and is why the table count and column set are worth monitoring.</w:t>
      </w:r>
    </w:p>
    <w:p>
      <w:pPr>
        <w:pStyle w:val="Heading2"/>
      </w:pPr>
      <w:r>
        <w:rPr>
          <w:rFonts w:ascii="Times New Roman" w:hAnsi="Times New Roman" w:eastAsia="Batang"/>
          <w:b/>
          <w:color w:val="000000"/>
          <w:sz w:val="24"/>
        </w:rPr>
        <w:t>3. A table that disappears</w:t>
      </w:r>
    </w:p>
    <w:p>
      <w:pPr>
        <w:spacing w:line="384" w:lineRule="auto" w:after="120"/>
        <w:jc w:val="both"/>
      </w:pPr>
      <w:r>
        <w:rPr>
          <w:rFonts w:ascii="Times New Roman" w:hAnsi="Times New Roman" w:eastAsia="Batang"/>
          <w:sz w:val="22"/>
        </w:rPr>
        <w:t xml:space="preserve">A table absent from today's dump is not loaded, and its Delta table is </w:t>
      </w:r>
      <w:r>
        <w:rPr>
          <w:rFonts w:ascii="Times New Roman" w:hAnsi="Times New Roman" w:eastAsia="Batang"/>
          <w:b/>
          <w:sz w:val="22"/>
        </w:rPr>
        <w:t>left exactly as it was</w:t>
      </w:r>
      <w:r>
        <w:rPr>
          <w:rFonts w:ascii="Times New Roman" w:hAnsi="Times New Roman" w:eastAsia="Batang"/>
          <w:sz w:val="22"/>
        </w:rPr>
        <w:t>. It is not emptied and not deleted, so it silently becomes stale.</w:t>
      </w:r>
    </w:p>
    <w:p>
      <w:pPr>
        <w:spacing w:line="384" w:lineRule="auto" w:after="120"/>
        <w:jc w:val="both"/>
      </w:pPr>
      <w:r>
        <w:rPr>
          <w:rFonts w:ascii="Times New Roman" w:hAnsi="Times New Roman" w:eastAsia="Batang"/>
          <w:sz w:val="22"/>
        </w:rPr>
        <w:t xml:space="preserve">Nothing in the library detects this. Compare </w:t>
      </w:r>
      <w:r>
        <w:rPr>
          <w:rFonts w:ascii="Consolas" w:hAnsi="Consolas" w:eastAsia="Consolas"/>
          <w:sz w:val="18"/>
        </w:rPr>
        <w:t>report.tables</w:t>
      </w:r>
      <w:r>
        <w:rPr>
          <w:rFonts w:ascii="Times New Roman" w:hAnsi="Times New Roman" w:eastAsia="Batang"/>
          <w:sz w:val="22"/>
        </w:rPr>
        <w:t xml:space="preserve"> against the previous run and decide deliberately: mark it stale, drop it, or accept it. This is the most likely way for a downstream consumer to be quietly served yesterday's data, and it is called out in Appendix B for that reason.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https://docs.databricks.com/aws/en/sql/language-manual/delta-vacuum</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Unity Catalog managed tables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https://docs.databricks.com/aws/en/tables/managed</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Volumes</w:t>
      </w:r>
      <w:r>
        <w:rPr>
          <w:rFonts w:ascii="Times New Roman" w:hAnsi="Times New Roman" w:eastAsia="Batang"/>
          <w:sz w:val="22"/>
        </w:rPr>
        <w:t>. https://docs.databricks.com/aws/en/volumes/</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zlib-ng Project. </w:t>
      </w:r>
      <w:r>
        <w:rPr>
          <w:rFonts w:ascii="Times New Roman" w:hAnsi="Times New Roman" w:eastAsia="Batang"/>
          <w:i/>
          <w:sz w:val="22"/>
        </w:rPr>
        <w:t>zlib-ng</w:t>
      </w:r>
      <w:r>
        <w:rPr>
          <w:rFonts w:ascii="Times New Roman" w:hAnsi="Times New Roman" w:eastAsia="Batang"/>
          <w:sz w:val="22"/>
        </w:rPr>
        <w:t>. https://github.com/zlib-ng/zlib-ng</w:t>
      </w:r>
    </w:p>
    <w:p/>
    <w:p>
      <w:pPr>
        <w:pStyle w:val="Heading1"/>
      </w:pPr>
      <w:r>
        <w:rPr>
          <w:rFonts w:ascii="Times New Roman" w:hAnsi="Times New Roman" w:eastAsia="Batang"/>
          <w:b/>
          <w:color w:val="000000"/>
          <w:sz w:val="26"/>
        </w:rPr>
        <w:t>Appendix A. Runbook</w:t>
      </w:r>
    </w:p>
    <w:p>
      <w:pPr>
        <w:spacing w:line="384" w:lineRule="auto" w:after="120"/>
        <w:jc w:val="both"/>
      </w:pPr>
      <w:r>
        <w:rPr>
          <w:rFonts w:ascii="Times New Roman" w:hAnsi="Times New Roman" w:eastAsia="Batang"/>
          <w:sz w:val="22"/>
        </w:rPr>
        <w:t>The daily job, reduced to its essentials.</w:t>
      </w:r>
    </w:p>
    <w:p>
      <w:pPr>
        <w:spacing w:line="240" w:lineRule="auto" w:before="120" w:after="120"/>
        <w:ind w:left="454"/>
      </w:pPr>
      <w:r>
        <w:rPr>
          <w:rFonts w:ascii="Consolas" w:hAnsi="Consolas" w:eastAsia="Consolas"/>
          <w:sz w:val="18"/>
        </w:rPr>
        <w:t>import pgdelta</w:t>
        <w:br/>
        <w:br/>
        <w:t>DUMP = "/Volumes/main/landing/pg/day.sql"</w:t>
        <w:br/>
        <w:t>OUTPUT = "/Volumes/main/raw/pg/"</w:t>
        <w:br/>
        <w:br/>
        <w:t>report = pgdelta.stream_dump_to_delta(</w:t>
        <w:br/>
        <w:t xml:space="preserve">    DUMP,</w:t>
        <w:br/>
        <w:t xml:space="preserve">    OUTPUT,</w:t>
        <w:br/>
        <w:t xml:space="preserve">    mode="overwrite",</w:t>
        <w:br/>
        <w:t xml:space="preserve">    expect_pg_major=17,</w:t>
        <w:br/>
        <w:t>)</w:t>
        <w:br/>
        <w:br/>
        <w:t># Record these. They are the whole audit trail.</w:t>
        <w:br/>
        <w:t>print(f"pg_dump {report.dumped_by}, server {report.from_database}")</w:t>
        <w:br/>
        <w:t>print(f"{report.bytes_read:,} bytes, {report.total_rows:,} rows, {len(report.tables)} tables")</w:t>
        <w:br/>
        <w:br/>
        <w:t>for stats in report.tables:</w:t>
        <w:br/>
        <w:t xml:space="preserve">    if stats.text_fallback_columns:</w:t>
        <w:br/>
        <w:t xml:space="preserve">        print(f"NEW UNRECOGNISED TYPE {stats.table}: {stats.text_fallback_columns}")</w:t>
        <w:br/>
        <w:br/>
        <w:t># Only after success.</w:t>
        <w:br/>
        <w:t>for stats in report.tables:</w:t>
        <w:br/>
        <w:t xml:space="preserve">    path = f"{OUTPUT.rstrip('/')}/{stats.table.replace('.', '/')}"</w:t>
        <w:br/>
        <w:t xml:space="preserve">    spark.sql(f"VACUUM delta.`{path}` RETAIN 168 HOURS")</w:t>
      </w:r>
    </w:p>
    <w:p>
      <w:pPr>
        <w:spacing w:line="384" w:lineRule="auto" w:after="120"/>
        <w:jc w:val="both"/>
      </w:pPr>
      <w:r>
        <w:rPr>
          <w:rFonts w:ascii="Times New Roman" w:hAnsi="Times New Roman" w:eastAsia="Batang"/>
          <w:sz w:val="22"/>
        </w:rPr>
        <w:t>On failure: read the exception, consult Chapter V, Section 3, and in almost every case re-run once the underlying cause is addressed. Nothing needs cleaning up first.</w:t>
      </w:r>
    </w:p>
    <w:p/>
    <w:p>
      <w:pPr>
        <w:pStyle w:val="Heading1"/>
      </w:pPr>
      <w:r>
        <w:rPr>
          <w:rFonts w:ascii="Times New Roman" w:hAnsi="Times New Roman" w:eastAsia="Batang"/>
          <w:b/>
          <w:color w:val="000000"/>
          <w:sz w:val="26"/>
        </w:rPr>
        <w:t>Appendix B. Known gaps</w:t>
      </w:r>
    </w:p>
    <w:p>
      <w:pPr>
        <w:spacing w:line="384" w:lineRule="auto" w:after="120"/>
        <w:jc w:val="both"/>
      </w:pPr>
      <w:r>
        <w:rPr>
          <w:rFonts w:ascii="Times New Roman" w:hAnsi="Times New Roman" w:eastAsia="Batang"/>
          <w:sz w:val="22"/>
        </w:rPr>
        <w:t>Stated plainly, so that nobody discovers them during an incident.</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Consequence</w:t>
            </w:r>
          </w:p>
        </w:tc>
        <w:tc>
          <w:tcPr>
            <w:tcW w:type="dxa" w:w="3135"/>
          </w:tcPr>
          <w:p>
            <w:pPr>
              <w:jc w:val="center"/>
            </w:pPr>
            <w:r>
              <w:rPr>
                <w:rFonts w:ascii="Times New Roman" w:hAnsi="Times New Roman" w:eastAsia="Batang"/>
                <w:b/>
                <w:sz w:val="22"/>
              </w:rPr>
              <w:t>Mitigation</w:t>
            </w:r>
          </w:p>
        </w:tc>
      </w:tr>
      <w:tr>
        <w:tc>
          <w:tcPr>
            <w:tcW w:type="dxa" w:w="3135"/>
          </w:tcPr>
          <w:p>
            <w:r>
              <w:rPr>
                <w:rFonts w:ascii="Times New Roman" w:hAnsi="Times New Roman" w:eastAsia="Batang"/>
                <w:sz w:val="22"/>
              </w:rPr>
              <w:t>A table absent from the dump is left untouched</w:t>
            </w:r>
          </w:p>
        </w:tc>
        <w:tc>
          <w:tcPr>
            <w:tcW w:type="dxa" w:w="3135"/>
          </w:tcPr>
          <w:p>
            <w:r>
              <w:rPr>
                <w:rFonts w:ascii="Times New Roman" w:hAnsi="Times New Roman" w:eastAsia="Batang"/>
                <w:sz w:val="22"/>
              </w:rPr>
              <w:t>It silently serves stale data</w:t>
            </w:r>
          </w:p>
        </w:tc>
        <w:tc>
          <w:tcPr>
            <w:tcW w:type="dxa" w:w="3135"/>
          </w:tcPr>
          <w:p>
            <w:r>
              <w:rPr>
                <w:rFonts w:ascii="Times New Roman" w:hAnsi="Times New Roman" w:eastAsia="Batang"/>
                <w:sz w:val="22"/>
              </w:rPr>
              <w:t xml:space="preserve">Compare </w:t>
            </w:r>
            <w:r>
              <w:rPr>
                <w:rFonts w:ascii="Consolas" w:hAnsi="Consolas" w:eastAsia="Consolas"/>
                <w:sz w:val="18"/>
              </w:rPr>
              <w:t>report.tables</w:t>
            </w:r>
            <w:r>
              <w:rPr>
                <w:rFonts w:ascii="Times New Roman" w:hAnsi="Times New Roman" w:eastAsia="Batang"/>
                <w:sz w:val="22"/>
              </w:rPr>
              <w:t xml:space="preserve"> run over run. See Chapter VII, Section 3</w:t>
            </w:r>
          </w:p>
        </w:tc>
      </w:tr>
      <w:tr>
        <w:tc>
          <w:tcPr>
            <w:tcW w:type="dxa" w:w="3135"/>
          </w:tcPr>
          <w:p>
            <w:r>
              <w:rPr>
                <w:rFonts w:ascii="Times New Roman" w:hAnsi="Times New Roman" w:eastAsia="Batang"/>
                <w:sz w:val="22"/>
              </w:rPr>
              <w:t>Phase 2 is not atomic across tables</w:t>
            </w:r>
          </w:p>
        </w:tc>
        <w:tc>
          <w:tcPr>
            <w:tcW w:type="dxa" w:w="3135"/>
          </w:tcPr>
          <w:p>
            <w:r>
              <w:rPr>
                <w:rFonts w:ascii="Times New Roman" w:hAnsi="Times New Roman" w:eastAsia="Batang"/>
                <w:sz w:val="22"/>
              </w:rPr>
              <w:t>A reader during the commit burst may see a mix of two days</w:t>
            </w:r>
          </w:p>
        </w:tc>
        <w:tc>
          <w:tcPr>
            <w:tcW w:type="dxa" w:w="3135"/>
          </w:tcPr>
          <w:p>
            <w:r>
              <w:rPr>
                <w:rFonts w:ascii="Times New Roman" w:hAnsi="Times New Roman" w:eastAsia="Batang"/>
                <w:sz w:val="22"/>
              </w:rPr>
              <w:t>Accept, or adopt the manifest-table pattern</w:t>
            </w:r>
          </w:p>
        </w:tc>
      </w:tr>
      <w:tr>
        <w:tc>
          <w:tcPr>
            <w:tcW w:type="dxa" w:w="3135"/>
          </w:tcPr>
          <w:p>
            <w:r>
              <w:rPr>
                <w:rFonts w:ascii="Consolas" w:hAnsi="Consolas" w:eastAsia="Consolas"/>
                <w:sz w:val="18"/>
              </w:rPr>
              <w:t>VACUUM</w:t>
            </w:r>
            <w:r>
              <w:rPr>
                <w:rFonts w:ascii="Times New Roman" w:hAnsi="Times New Roman" w:eastAsia="Batang"/>
                <w:sz w:val="22"/>
              </w:rPr>
              <w:t xml:space="preserve"> is not run by the library</w:t>
            </w:r>
          </w:p>
        </w:tc>
        <w:tc>
          <w:tcPr>
            <w:tcW w:type="dxa" w:w="3135"/>
          </w:tcPr>
          <w:p>
            <w:r>
              <w:rPr>
                <w:rFonts w:ascii="Times New Roman" w:hAnsi="Times New Roman" w:eastAsia="Batang"/>
                <w:sz w:val="22"/>
              </w:rPr>
              <w:t>Storage grows quietly</w:t>
            </w:r>
          </w:p>
        </w:tc>
        <w:tc>
          <w:tcPr>
            <w:tcW w:type="dxa" w:w="3135"/>
          </w:tcPr>
          <w:p>
            <w:r>
              <w:rPr>
                <w:rFonts w:ascii="Times New Roman" w:hAnsi="Times New Roman" w:eastAsia="Batang"/>
                <w:sz w:val="22"/>
              </w:rPr>
              <w:t>Schedule it. See Chapter IV</w:t>
            </w:r>
          </w:p>
        </w:tc>
      </w:tr>
      <w:tr>
        <w:tc>
          <w:tcPr>
            <w:tcW w:type="dxa" w:w="3135"/>
          </w:tcPr>
          <w:p>
            <w:r>
              <w:rPr>
                <w:rFonts w:ascii="Times New Roman" w:hAnsi="Times New Roman" w:eastAsia="Batang"/>
                <w:sz w:val="22"/>
              </w:rPr>
              <w:t xml:space="preserve">A </w:t>
            </w:r>
            <w:r>
              <w:rPr>
                <w:rFonts w:ascii="Consolas" w:hAnsi="Consolas" w:eastAsia="Consolas"/>
                <w:sz w:val="18"/>
              </w:rPr>
              <w:t>numeric</w:t>
            </w:r>
            <w:r>
              <w:rPr>
                <w:rFonts w:ascii="Times New Roman" w:hAnsi="Times New Roman" w:eastAsia="Batang"/>
                <w:sz w:val="22"/>
              </w:rPr>
              <w:t xml:space="preserve"> outside Arrow's decimal range becomes text without being reported</w:t>
            </w:r>
          </w:p>
        </w:tc>
        <w:tc>
          <w:tcPr>
            <w:tcW w:type="dxa" w:w="3135"/>
          </w:tcPr>
          <w:p>
            <w:r>
              <w:rPr>
                <w:rFonts w:ascii="Times New Roman" w:hAnsi="Times New Roman" w:eastAsia="Batang"/>
                <w:sz w:val="22"/>
              </w:rPr>
              <w:t>Visible only in the resulting schema</w:t>
            </w:r>
          </w:p>
        </w:tc>
        <w:tc>
          <w:tcPr>
            <w:tcW w:type="dxa" w:w="3135"/>
          </w:tcPr>
          <w:p>
            <w:r>
              <w:rPr>
                <w:rFonts w:ascii="Times New Roman" w:hAnsi="Times New Roman" w:eastAsia="Batang"/>
                <w:sz w:val="22"/>
              </w:rPr>
              <w:t>Check the schema when a numeric column reads as a string</w:t>
            </w:r>
          </w:p>
        </w:tc>
      </w:tr>
      <w:tr>
        <w:tc>
          <w:tcPr>
            <w:tcW w:type="dxa" w:w="3135"/>
          </w:tcPr>
          <w:p>
            <w:r>
              <w:rPr>
                <w:rFonts w:ascii="Times New Roman" w:hAnsi="Times New Roman" w:eastAsia="Batang"/>
                <w:sz w:val="22"/>
              </w:rPr>
              <w:t>Row order within a table is not preserved</w:t>
            </w:r>
          </w:p>
        </w:tc>
        <w:tc>
          <w:tcPr>
            <w:tcW w:type="dxa" w:w="3135"/>
          </w:tcPr>
          <w:p>
            <w:r>
              <w:rPr>
                <w:rFonts w:ascii="Times New Roman" w:hAnsi="Times New Roman" w:eastAsia="Batang"/>
                <w:sz w:val="22"/>
              </w:rPr>
              <w:t>Any consumer relying on insertion order breaks</w:t>
            </w:r>
          </w:p>
        </w:tc>
        <w:tc>
          <w:tcPr>
            <w:tcW w:type="dxa" w:w="3135"/>
          </w:tcPr>
          <w:p>
            <w:r>
              <w:rPr>
                <w:rFonts w:ascii="Times New Roman" w:hAnsi="Times New Roman" w:eastAsia="Batang"/>
                <w:sz w:val="22"/>
              </w:rPr>
              <w:t>Sort downstream. Delta tables are unordered sets</w:t>
            </w:r>
          </w:p>
        </w:tc>
      </w:tr>
      <w:tr>
        <w:tc>
          <w:tcPr>
            <w:tcW w:type="dxa" w:w="3135"/>
          </w:tcPr>
          <w:p>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is not reported</w:t>
            </w:r>
          </w:p>
        </w:tc>
        <w:tc>
          <w:tcPr>
            <w:tcW w:type="dxa" w:w="3135"/>
          </w:tcPr>
          <w:p>
            <w:r>
              <w:rPr>
                <w:rFonts w:ascii="Times New Roman" w:hAnsi="Times New Roman" w:eastAsia="Batang"/>
                <w:sz w:val="22"/>
              </w:rPr>
              <w:t>A silent typo loads nothing</w:t>
            </w:r>
          </w:p>
        </w:tc>
        <w:tc>
          <w:tcPr>
            <w:tcW w:type="dxa" w:w="3135"/>
          </w:tcPr>
          <w:p>
            <w:r>
              <w:rPr>
                <w:rFonts w:ascii="Times New Roman" w:hAnsi="Times New Roman" w:eastAsia="Batang"/>
                <w:sz w:val="22"/>
              </w:rPr>
              <w:t xml:space="preserve">Compare your list against </w:t>
            </w:r>
            <w:r>
              <w:rPr>
                <w:rFonts w:ascii="Consolas" w:hAnsi="Consolas" w:eastAsia="Consolas"/>
                <w:sz w:val="18"/>
              </w:rPr>
              <w:t>report.tables</w:t>
            </w:r>
          </w:p>
        </w:tc>
      </w:tr>
      <w:tr>
        <w:tc>
          <w:tcPr>
            <w:tcW w:type="dxa" w:w="3135"/>
          </w:tcPr>
          <w:p>
            <w:r>
              <w:rPr>
                <w:rFonts w:ascii="Times New Roman" w:hAnsi="Times New Roman" w:eastAsia="Batang"/>
                <w:sz w:val="22"/>
              </w:rPr>
              <w:t>zstd input is rejected rather than decoded</w:t>
            </w:r>
          </w:p>
        </w:tc>
        <w:tc>
          <w:tcPr>
            <w:tcW w:type="dxa" w:w="3135"/>
          </w:tcPr>
          <w:p>
            <w:r>
              <w:rPr>
                <w:rFonts w:ascii="Times New Roman" w:hAnsi="Times New Roman" w:eastAsia="Batang"/>
                <w:sz w:val="22"/>
              </w:rPr>
              <w:t>A format change by the sender fails the load</w:t>
            </w:r>
          </w:p>
        </w:tc>
        <w:tc>
          <w:tcPr>
            <w:tcW w:type="dxa" w:w="3135"/>
          </w:tcPr>
          <w:p>
            <w:r>
              <w:rPr>
                <w:rFonts w:ascii="Times New Roman" w:hAnsi="Times New Roman" w:eastAsia="Batang"/>
                <w:sz w:val="22"/>
              </w:rPr>
              <w:t>Add the crate and a match arm before agreeing to any such change</w:t>
            </w:r>
          </w:p>
        </w:tc>
      </w:tr>
      <w:tr>
        <w:tc>
          <w:tcPr>
            <w:tcW w:type="dxa" w:w="3135"/>
          </w:tcPr>
          <w:p>
            <w:r>
              <w:rPr>
                <w:rFonts w:ascii="Times New Roman" w:hAnsi="Times New Roman" w:eastAsia="Batang"/>
                <w:sz w:val="22"/>
              </w:rPr>
              <w:t>Single-node only</w:t>
            </w:r>
          </w:p>
        </w:tc>
        <w:tc>
          <w:tcPr>
            <w:tcW w:type="dxa" w:w="3135"/>
          </w:tcPr>
          <w:p>
            <w:r>
              <w:rPr>
                <w:rFonts w:ascii="Times New Roman" w:hAnsi="Times New Roman" w:eastAsia="Batang"/>
                <w:sz w:val="22"/>
              </w:rPr>
              <w:t>Ceiling in the high hundreds of gigabytes</w:t>
            </w:r>
          </w:p>
        </w:tc>
        <w:tc>
          <w:tcPr>
            <w:tcW w:type="dxa" w:w="3135"/>
          </w:tcPr>
          <w:p>
            <w:r>
              <w:rPr>
                <w:rFonts w:ascii="Times New Roman" w:hAnsi="Times New Roman" w:eastAsia="Batang"/>
                <w:sz w:val="22"/>
              </w:rPr>
              <w:t xml:space="preserve">See </w:t>
            </w:r>
            <w:r>
              <w:rPr>
                <w:rFonts w:ascii="Consolas" w:hAnsi="Consolas" w:eastAsia="Consolas"/>
                <w:sz w:val="18"/>
              </w:rPr>
              <w:t>architecture.md</w:t>
            </w:r>
            <w:r>
              <w:rPr>
                <w:rFonts w:ascii="Times New Roman" w:hAnsi="Times New Roman" w:eastAsia="Batang"/>
                <w:sz w:val="22"/>
              </w:rPr>
              <w:t>, Chapter IV, Section 8</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