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 and preferred for the tables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Intended for landing the dump. Usable for output, but see below</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storage</w:t>
            </w:r>
          </w:p>
        </w:tc>
        <w:tc>
          <w:tcPr>
            <w:tcW w:type="dxa" w:w="3135"/>
          </w:tcPr>
          <w:p>
            <w:r>
              <w:rPr>
                <w:rFonts w:ascii="Times New Roman" w:hAnsi="Times New Roman" w:eastAsia="Batang"/>
                <w:b/>
                <w:sz w:val="22"/>
              </w:rPr>
              <w:t>Refused</w:t>
            </w:r>
          </w:p>
        </w:tc>
        <w:tc>
          <w:tcPr>
            <w:tcW w:type="dxa" w:w="3135"/>
          </w:tcPr>
          <w:p>
            <w:r>
              <w:rPr>
                <w:rFonts w:ascii="Times New Roman" w:hAnsi="Times New Roman" w:eastAsia="Batang"/>
                <w:sz w:val="22"/>
              </w:rPr>
              <w:t xml:space="preserve">The load fails immediately with </w:t>
            </w:r>
            <w:r>
              <w:rPr>
                <w:rFonts w:ascii="Consolas" w:hAnsi="Consolas" w:eastAsia="Consolas"/>
                <w:sz w:val="18"/>
              </w:rPr>
              <w:t>ValueError</w:t>
            </w:r>
          </w:p>
        </w:tc>
      </w:tr>
    </w:tbl>
    <w:p/>
    <w:p>
      <w:pPr>
        <w:spacing w:line="384" w:lineRule="auto" w:after="120"/>
        <w:jc w:val="both"/>
      </w:pPr>
      <w:r>
        <w:rPr>
          <w:rFonts w:ascii="Times New Roman" w:hAnsi="Times New Roman" w:eastAsia="Batang"/>
          <w:sz w:val="22"/>
        </w:rPr>
        <w:t>The intended layout separates the file from the tables:</w:t>
      </w:r>
    </w:p>
    <w:p>
      <w:pPr>
        <w:spacing w:line="240" w:lineRule="auto" w:before="120" w:after="120"/>
        <w:ind w:left="454"/>
      </w:pPr>
      <w:r>
        <w:rPr>
          <w:rFonts w:ascii="Consolas" w:hAnsi="Consolas" w:eastAsia="Consolas"/>
          <w:sz w:val="18"/>
        </w:rPr>
        <w:t>Input:    /Volumes/&lt;catalog&gt;/&lt;schema&gt;/&lt;landing-volume&gt;/dump.sql.gz</w:t>
        <w:br/>
        <w:t>Output:   abfss://&lt;container&gt;@&lt;account&gt;/bronze/&lt;source&gt;/public/&lt;table&gt;</w:t>
        <w:br/>
        <w:t>Register: &lt;catalog&gt;.&lt;schema&gt;.&lt;table&gt;, as Unity Catalog external tables</w:t>
      </w:r>
    </w:p>
    <w:p>
      <w:pPr>
        <w:spacing w:line="384" w:lineRule="auto" w:after="120"/>
        <w:jc w:val="both"/>
      </w:pPr>
      <w:r>
        <w:rPr>
          <w:rFonts w:ascii="Times New Roman" w:hAnsi="Times New Roman" w:eastAsia="Batang"/>
          <w:sz w:val="22"/>
        </w:rPr>
        <w:t>A Volume is the right place to land the dump, because a Volume holds files. The Delta tables belong in an external location, which is what a Unity Catalog external table can be registered against. Writing the tables into a Volume works, but it is not the arrangement Databricks expects and it makes registration awkward.</w:t>
      </w:r>
    </w:p>
    <w:p>
      <w:pPr>
        <w:spacing w:line="384" w:lineRule="auto" w:after="120"/>
        <w:jc w:val="both"/>
      </w:pPr>
      <w:r>
        <w:rPr>
          <w:rFonts w:ascii="Times New Roman" w:hAnsi="Times New Roman" w:eastAsia="Batang"/>
          <w:b/>
          <w:sz w:val="22"/>
        </w:rPr>
        <w:t>Managed storage is refused rather than discouraged.</w:t>
      </w:r>
      <w:r>
        <w:rPr>
          <w:rFonts w:ascii="Times New Roman" w:hAnsi="Times New Roman" w:eastAsia="Batang"/>
          <w:sz w:val="22"/>
        </w:rPr>
        <w:t xml:space="preserve"> A prefix containing </w:t>
      </w:r>
      <w:r>
        <w:rPr>
          <w:rFonts w:ascii="Consolas" w:hAnsi="Consolas" w:eastAsia="Consolas"/>
          <w:sz w:val="18"/>
        </w:rPr>
        <w:t>__unitystorage</w:t>
      </w:r>
      <w:r>
        <w:rPr>
          <w:rFonts w:ascii="Times New Roman" w:hAnsi="Times New Roman" w:eastAsia="Batang"/>
          <w:sz w:val="22"/>
        </w:rPr>
        <w:t xml:space="preserve"> or </w:t>
      </w:r>
      <w:r>
        <w:rPr>
          <w:rFonts w:ascii="Consolas" w:hAnsi="Consolas" w:eastAsia="Consolas"/>
          <w:sz w:val="18"/>
        </w:rPr>
        <w:t>/user/hive/warehouse</w:t>
      </w:r>
      <w:r>
        <w:rPr>
          <w:rFonts w:ascii="Times New Roman" w:hAnsi="Times New Roman" w:eastAsia="Batang"/>
          <w:sz w:val="22"/>
        </w:rPr>
        <w:t xml:space="preserve"> fails the load before anything is opened, so the failure costs a second rather than a decoded dump. Managed tables assume the catalog is their only writer, and an outside writer can leave them inconsistent in ways that do not surface as a clean error. That is precisely the class of failure this library exists to avoid, so it is not offered as an option.</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spacing w:line="384" w:lineRule="auto" w:after="120"/>
        <w:jc w:val="both"/>
      </w:pPr>
      <w:r>
        <w:rPr>
          <w:rFonts w:ascii="Consolas" w:hAnsi="Consolas" w:eastAsia="Consolas"/>
          <w:sz w:val="18"/>
        </w:rPr>
        <w:t>commit_concurrency</w:t>
      </w:r>
      <w:r>
        <w:rPr>
          <w:rFonts w:ascii="Times New Roman" w:hAnsi="Times New Roman" w:eastAsia="Batang"/>
          <w:sz w:val="22"/>
        </w:rPr>
        <w:t xml:space="preserve"> is the opposite case and defaults to 16. A commit is a small metadata write waiting on a storage round trip, so it is bounded by latency rather than by cores, and a number well above the core count is correct. This is the knob for the long tail: the feed has around 450 tables, most of them small, and committing them one at a time turns a metadata burst into a serial queue of round trips.</w:t>
      </w:r>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Consolas" w:hAnsi="Consolas" w:eastAsia="Consolas"/>
                <w:b/>
                <w:sz w:val="18"/>
              </w:rPr>
              <w:t>commit_concurrency</w:t>
            </w:r>
          </w:p>
        </w:tc>
        <w:tc>
          <w:tcPr>
            <w:tcW w:type="dxa" w:w="4702"/>
          </w:tcPr>
          <w:p>
            <w:pPr>
              <w:jc w:val="center"/>
            </w:pPr>
            <w:r>
              <w:rPr>
                <w:rFonts w:ascii="Times New Roman" w:hAnsi="Times New Roman" w:eastAsia="Batang"/>
                <w:b/>
                <w:sz w:val="22"/>
              </w:rPr>
              <w:t>Total run</w:t>
            </w:r>
          </w:p>
        </w:tc>
      </w:tr>
      <w:tr>
        <w:tc>
          <w:tcPr>
            <w:tcW w:type="dxa" w:w="4702"/>
          </w:tcPr>
          <w:p>
            <w:r>
              <w:rPr>
                <w:rFonts w:ascii="Times New Roman" w:hAnsi="Times New Roman" w:eastAsia="Batang"/>
                <w:sz w:val="22"/>
              </w:rPr>
              <w:t>1</w:t>
            </w:r>
          </w:p>
        </w:tc>
        <w:tc>
          <w:tcPr>
            <w:tcW w:type="dxa" w:w="4702"/>
          </w:tcPr>
          <w:p>
            <w:r>
              <w:rPr>
                <w:rFonts w:ascii="Times New Roman" w:hAnsi="Times New Roman" w:eastAsia="Batang"/>
                <w:sz w:val="22"/>
              </w:rPr>
              <w:t>3.89 s</w:t>
            </w:r>
          </w:p>
        </w:tc>
      </w:tr>
      <w:tr>
        <w:tc>
          <w:tcPr>
            <w:tcW w:type="dxa" w:w="4702"/>
          </w:tcPr>
          <w:p>
            <w:r>
              <w:rPr>
                <w:rFonts w:ascii="Times New Roman" w:hAnsi="Times New Roman" w:eastAsia="Batang"/>
                <w:sz w:val="22"/>
              </w:rPr>
              <w:t>4</w:t>
            </w:r>
          </w:p>
        </w:tc>
        <w:tc>
          <w:tcPr>
            <w:tcW w:type="dxa" w:w="4702"/>
          </w:tcPr>
          <w:p>
            <w:r>
              <w:rPr>
                <w:rFonts w:ascii="Times New Roman" w:hAnsi="Times New Roman" w:eastAsia="Batang"/>
                <w:sz w:val="22"/>
              </w:rPr>
              <w:t>2.56 s</w:t>
            </w:r>
          </w:p>
        </w:tc>
      </w:tr>
      <w:tr>
        <w:tc>
          <w:tcPr>
            <w:tcW w:type="dxa" w:w="4702"/>
          </w:tcPr>
          <w:p>
            <w:r>
              <w:rPr>
                <w:rFonts w:ascii="Times New Roman" w:hAnsi="Times New Roman" w:eastAsia="Batang"/>
                <w:sz w:val="22"/>
              </w:rPr>
              <w:t>16</w:t>
            </w:r>
          </w:p>
        </w:tc>
        <w:tc>
          <w:tcPr>
            <w:tcW w:type="dxa" w:w="4702"/>
          </w:tcPr>
          <w:p>
            <w:r>
              <w:rPr>
                <w:rFonts w:ascii="Times New Roman" w:hAnsi="Times New Roman" w:eastAsia="Batang"/>
                <w:sz w:val="22"/>
              </w:rPr>
              <w:t>2.24 s</w:t>
            </w:r>
          </w:p>
        </w:tc>
      </w:tr>
      <w:tr>
        <w:tc>
          <w:tcPr>
            <w:tcW w:type="dxa" w:w="4702"/>
          </w:tcPr>
          <w:p>
            <w:r>
              <w:rPr>
                <w:rFonts w:ascii="Times New Roman" w:hAnsi="Times New Roman" w:eastAsia="Batang"/>
                <w:sz w:val="22"/>
              </w:rPr>
              <w:t>64</w:t>
            </w:r>
          </w:p>
        </w:tc>
        <w:tc>
          <w:tcPr>
            <w:tcW w:type="dxa" w:w="4702"/>
          </w:tcPr>
          <w:p>
            <w:r>
              <w:rPr>
                <w:rFonts w:ascii="Times New Roman" w:hAnsi="Times New Roman" w:eastAsia="Batang"/>
                <w:sz w:val="22"/>
              </w:rPr>
              <w:t>2.47 s</w:t>
            </w:r>
          </w:p>
        </w:tc>
      </w:tr>
    </w:tbl>
    <w:p/>
    <w:p>
      <w:pPr>
        <w:spacing w:line="384" w:lineRule="auto" w:after="120"/>
        <w:jc w:val="both"/>
      </w:pPr>
      <w:r>
        <w:rPr>
          <w:rFonts w:ascii="Times New Roman" w:hAnsi="Times New Roman" w:eastAsia="Batang"/>
          <w:sz w:val="22"/>
        </w:rPr>
        <w:t xml:space="preserve">Read that as a floor, not as the expected benefit. A local filesystem has almost none of the round-trip latency the concurrency exists to hide, and it still returns 1.7x between serial and the default. Against </w:t>
      </w:r>
      <w:r>
        <w:rPr>
          <w:rFonts w:ascii="Consolas" w:hAnsi="Consolas" w:eastAsia="Consolas"/>
          <w:sz w:val="18"/>
        </w:rPr>
        <w:t>abfss://</w:t>
      </w:r>
      <w:r>
        <w:rPr>
          <w:rFonts w:ascii="Times New Roman" w:hAnsi="Times New Roman" w:eastAsia="Batang"/>
          <w:sz w:val="22"/>
        </w:rPr>
        <w:t>, where a round trip is tens of milliseconds rather than microseconds, the gap is wider.</w:t>
      </w:r>
    </w:p>
    <w:p>
      <w:pPr>
        <w:spacing w:line="384" w:lineRule="auto" w:after="120"/>
        <w:jc w:val="both"/>
      </w:pPr>
      <w:r>
        <w:rPr>
          <w:rFonts w:ascii="Times New Roman" w:hAnsi="Times New Roman" w:eastAsia="Batang"/>
          <w:sz w:val="22"/>
        </w:rPr>
        <w:t>The measurement also shows why the default is 16 rather than something larger: 64 is slower than 16 here, because past a point the requests queue anyway and the coordination is pure cost.</w:t>
      </w:r>
    </w:p>
    <w:p>
      <w:pPr>
        <w:spacing w:line="384" w:lineRule="auto" w:after="120"/>
        <w:jc w:val="both"/>
      </w:pPr>
      <w:r>
        <w:rPr>
          <w:rFonts w:ascii="Times New Roman" w:hAnsi="Times New Roman" w:eastAsia="Batang"/>
          <w:sz w:val="22"/>
        </w:rPr>
        <w:t xml:space="preserve">Raise it if the commit burst is a visible fraction of the run against </w:t>
      </w:r>
      <w:r>
        <w:rPr>
          <w:rFonts w:ascii="Consolas" w:hAnsi="Consolas" w:eastAsia="Consolas"/>
          <w:sz w:val="18"/>
        </w:rPr>
        <w:t>abfss://</w:t>
      </w:r>
      <w:r>
        <w:rPr>
          <w:rFonts w:ascii="Times New Roman" w:hAnsi="Times New Roman" w:eastAsia="Batang"/>
          <w:sz w:val="22"/>
        </w:rPr>
        <w:t>. There is little reason to lower it below the default except to reduce request pressure on a shared storage account.</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schema differs</w:t>
            </w:r>
          </w:p>
        </w:tc>
        <w:tc>
          <w:tcPr>
            <w:tcW w:type="dxa" w:w="3135"/>
          </w:tcPr>
          <w:p>
            <w:r>
              <w:rPr>
                <w:rFonts w:ascii="Times New Roman" w:hAnsi="Times New Roman" w:eastAsia="Batang"/>
                <w:sz w:val="22"/>
              </w:rPr>
              <w:t xml:space="preserve">The sender changed a column and the run used </w:t>
            </w:r>
            <w:r>
              <w:rPr>
                <w:rFonts w:ascii="Consolas" w:hAnsi="Consolas" w:eastAsia="Consolas"/>
                <w:sz w:val="18"/>
              </w:rPr>
              <w:t>append</w:t>
            </w:r>
          </w:p>
        </w:tc>
        <w:tc>
          <w:tcPr>
            <w:tcW w:type="dxa" w:w="3135"/>
          </w:tcPr>
          <w:p>
            <w:r>
              <w:rPr>
                <w:rFonts w:ascii="Times New Roman" w:hAnsi="Times New Roman" w:eastAsia="Batang"/>
                <w:sz w:val="22"/>
              </w:rPr>
              <w:t xml:space="preserve">Only </w:t>
            </w:r>
            <w:r>
              <w:rPr>
                <w:rFonts w:ascii="Consolas" w:hAnsi="Consolas" w:eastAsia="Consolas"/>
                <w:sz w:val="18"/>
              </w:rPr>
              <w:t>overwrite</w:t>
            </w:r>
            <w:r>
              <w:rPr>
                <w:rFonts w:ascii="Times New Roman" w:hAnsi="Times New Roman" w:eastAsia="Batang"/>
                <w:sz w:val="22"/>
              </w:rPr>
              <w:t xml:space="preserve"> may change a schema. Confirm the change is intended, then use </w:t>
            </w:r>
            <w:r>
              <w:rPr>
                <w:rFonts w:ascii="Consolas" w:hAnsi="Consolas" w:eastAsia="Consolas"/>
                <w:sz w:val="18"/>
              </w:rPr>
              <w:t>overwrite</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schema_drift</w:t>
            </w:r>
          </w:p>
        </w:tc>
        <w:tc>
          <w:tcPr>
            <w:tcW w:type="dxa" w:w="4702"/>
          </w:tcPr>
          <w:p>
            <w:r>
              <w:rPr>
                <w:rFonts w:ascii="Times New Roman" w:hAnsi="Times New Roman" w:eastAsia="Batang"/>
                <w:sz w:val="22"/>
              </w:rPr>
              <w:t>Non-empty means the sender added, removed or retyped a column. This is how DDL change announces itself</w:t>
            </w:r>
          </w:p>
        </w:tc>
      </w:tr>
      <w:tr>
        <w:tc>
          <w:tcPr>
            <w:tcW w:type="dxa" w:w="4702"/>
          </w:tcPr>
          <w:p>
            <w:r>
              <w:rPr>
                <w:rFonts w:ascii="Consolas" w:hAnsi="Consolas" w:eastAsia="Consolas"/>
                <w:sz w:val="18"/>
              </w:rPr>
              <w:t>missing_tables</w:t>
            </w:r>
          </w:p>
        </w:tc>
        <w:tc>
          <w:tcPr>
            <w:tcW w:type="dxa" w:w="4702"/>
          </w:tcPr>
          <w:p>
            <w:r>
              <w:rPr>
                <w:rFonts w:ascii="Times New Roman" w:hAnsi="Times New Roman" w:eastAsia="Batang"/>
                <w:sz w:val="22"/>
              </w:rPr>
              <w:t>A table stopped arriving. It is still serving the previous run's data</w:t>
            </w:r>
          </w:p>
        </w:tc>
      </w:tr>
      <w:tr>
        <w:tc>
          <w:tcPr>
            <w:tcW w:type="dxa" w:w="4702"/>
          </w:tcPr>
          <w:p>
            <w:r>
              <w:rPr>
                <w:rFonts w:ascii="Consolas" w:hAnsi="Consolas" w:eastAsia="Consolas"/>
                <w:sz w:val="18"/>
              </w:rPr>
              <w:t>unexpected_tables</w:t>
            </w:r>
          </w:p>
        </w:tc>
        <w:tc>
          <w:tcPr>
            <w:tcW w:type="dxa" w:w="4702"/>
          </w:tcPr>
          <w:p>
            <w:r>
              <w:rPr>
                <w:rFonts w:ascii="Times New Roman" w:hAnsi="Times New Roman" w:eastAsia="Batang"/>
                <w:sz w:val="22"/>
              </w:rPr>
              <w:t>A table appeared that nobody declared. Decide whether anything downstream should consume it</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on a new </w:t>
      </w:r>
      <w:r>
        <w:rPr>
          <w:rFonts w:ascii="Consolas" w:hAnsi="Consolas" w:eastAsia="Consolas"/>
          <w:sz w:val="18"/>
        </w:rPr>
        <w:t>text_fallback_columns</w:t>
      </w:r>
      <w:r>
        <w:rPr>
          <w:rFonts w:ascii="Times New Roman" w:hAnsi="Times New Roman" w:eastAsia="Batang"/>
          <w:sz w:val="22"/>
        </w:rPr>
        <w:t xml:space="preserve"> entry, and on any non-empty </w:t>
      </w:r>
      <w:r>
        <w:rPr>
          <w:rFonts w:ascii="Consolas" w:hAnsi="Consolas" w:eastAsia="Consolas"/>
          <w:sz w:val="18"/>
        </w:rPr>
        <w:t>schema_drift</w:t>
      </w:r>
      <w:r>
        <w:rPr>
          <w:rFonts w:ascii="Times New Roman" w:hAnsi="Times New Roman" w:eastAsia="Batang"/>
          <w:sz w:val="22"/>
        </w:rPr>
        <w:t xml:space="preserve">. None of these is an error, and all four are how the sender's changes announce themselves. A non-empty </w:t>
      </w:r>
      <w:r>
        <w:rPr>
          <w:rFonts w:ascii="Consolas" w:hAnsi="Consolas" w:eastAsia="Consolas"/>
          <w:sz w:val="18"/>
        </w:rPr>
        <w:t>schema_drift</w:t>
      </w:r>
      <w:r>
        <w:rPr>
          <w:rFonts w:ascii="Times New Roman" w:hAnsi="Times New Roman" w:eastAsia="Batang"/>
          <w:sz w:val="22"/>
        </w:rPr>
        <w:t xml:space="preserve"> in particular means the Delta schema has just changed underneath every downstream consumer of that table.</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removed or retyped column</w:t>
      </w:r>
      <w:r>
        <w:rPr>
          <w:rFonts w:ascii="Times New Roman" w:hAnsi="Times New Roman" w:eastAsia="Batang"/>
          <w:sz w:val="22"/>
        </w:rPr>
        <w:t xml:space="preserve"> is picked up from the </w:t>
      </w:r>
      <w:r>
        <w:rPr>
          <w:rFonts w:ascii="Consolas" w:hAnsi="Consolas" w:eastAsia="Consolas"/>
          <w:sz w:val="18"/>
        </w:rPr>
        <w:t>CREATE TABLE</w:t>
      </w:r>
      <w:r>
        <w:rPr>
          <w:rFonts w:ascii="Times New Roman" w:hAnsi="Times New Roman" w:eastAsia="Batang"/>
          <w:sz w:val="22"/>
        </w:rPr>
        <w:t xml:space="preserve"> and the</w:t>
      </w:r>
    </w:p>
    <w:p>
      <w:pPr>
        <w:spacing w:line="384" w:lineRule="auto" w:after="120"/>
        <w:jc w:val="both"/>
      </w:pPr>
      <w:r>
        <w:rPr>
          <w:rFonts w:ascii="Consolas" w:hAnsi="Consolas" w:eastAsia="Consolas"/>
          <w:sz w:val="18"/>
        </w:rPr>
        <w:t>COPY</w:t>
      </w:r>
      <w:r>
        <w:rPr>
          <w:rFonts w:ascii="Times New Roman" w:hAnsi="Times New Roman" w:eastAsia="Batang"/>
          <w:sz w:val="22"/>
        </w:rPr>
        <w:t xml:space="preserve"> header. Under </w:t>
      </w:r>
      <w:r>
        <w:rPr>
          <w:rFonts w:ascii="Consolas" w:hAnsi="Consolas" w:eastAsia="Consolas"/>
          <w:sz w:val="18"/>
        </w:rPr>
        <w:t>overwrite</w:t>
      </w:r>
      <w:r>
        <w:rPr>
          <w:rFonts w:ascii="Times New Roman" w:hAnsi="Times New Roman" w:eastAsia="Batang"/>
          <w:sz w:val="22"/>
        </w:rPr>
        <w:t xml:space="preserve"> the Delta schema is replaced in the same commit that replaces the data, so the declared columns and the files always agree, and the change is reported per table in </w:t>
      </w:r>
      <w:r>
        <w:rPr>
          <w:rFonts w:ascii="Consolas" w:hAnsi="Consolas" w:eastAsia="Consolas"/>
          <w:sz w:val="18"/>
        </w:rPr>
        <w:t>schema_drift</w:t>
      </w:r>
      <w:r>
        <w:rPr>
          <w:rFonts w:ascii="Times New Roman" w:hAnsi="Times New Roman" w:eastAsia="Batang"/>
          <w:sz w:val="22"/>
        </w:rPr>
        <w:t xml:space="preserve">. Under </w:t>
      </w:r>
      <w:r>
        <w:rPr>
          <w:rFonts w:ascii="Consolas" w:hAnsi="Consolas" w:eastAsia="Consolas"/>
          <w:sz w:val="18"/>
        </w:rPr>
        <w:t>append</w:t>
      </w:r>
      <w:r>
        <w:rPr>
          <w:rFonts w:ascii="Times New Roman" w:hAnsi="Times New Roman" w:eastAsia="Batang"/>
          <w:sz w:val="22"/>
        </w:rPr>
        <w:t xml:space="preserve"> the load fails with </w:t>
      </w:r>
      <w:r>
        <w:rPr>
          <w:rFonts w:ascii="Consolas" w:hAnsi="Consolas" w:eastAsia="Consolas"/>
          <w:sz w:val="18"/>
        </w:rPr>
        <w:t>ValueError</w:t>
      </w:r>
      <w:r>
        <w:rPr>
          <w:rFonts w:ascii="Times New Roman" w:hAnsi="Times New Roman" w:eastAsia="Batang"/>
          <w:sz w:val="22"/>
        </w:rPr>
        <w:t xml:space="preserve"> naming the table and the columns, because appending rows shaped one way to a table declared another way cannot be made to mean anything.</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spacing w:line="384" w:lineRule="auto" w:after="120"/>
        <w:jc w:val="both"/>
      </w:pPr>
      <w:r>
        <w:rPr>
          <w:rFonts w:ascii="Times New Roman" w:hAnsi="Times New Roman" w:eastAsia="Batang"/>
          <w:sz w:val="22"/>
        </w:rPr>
        <w:t xml:space="preserve">A removed column is worth calling out separately: under </w:t>
      </w:r>
      <w:r>
        <w:rPr>
          <w:rFonts w:ascii="Consolas" w:hAnsi="Consolas" w:eastAsia="Consolas"/>
          <w:sz w:val="18"/>
        </w:rPr>
        <w:t>overwrite</w:t>
      </w:r>
      <w:r>
        <w:rPr>
          <w:rFonts w:ascii="Times New Roman" w:hAnsi="Times New Roman" w:eastAsia="Batang"/>
          <w:sz w:val="22"/>
        </w:rPr>
        <w:t xml:space="preserve"> the new schema no longer has it, so a downstream query referencing it breaks. That is the correct outcome, and </w:t>
      </w:r>
      <w:r>
        <w:rPr>
          <w:rFonts w:ascii="Consolas" w:hAnsi="Consolas" w:eastAsia="Consolas"/>
          <w:sz w:val="18"/>
        </w:rPr>
        <w:t>schema_drift</w:t>
      </w:r>
      <w:r>
        <w:rPr>
          <w:rFonts w:ascii="Times New Roman" w:hAnsi="Times New Roman" w:eastAsia="Batang"/>
          <w:sz w:val="22"/>
        </w:rPr>
        <w:t xml:space="preserve"> is how you find out before the query does rather than after.</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Pass the previous run's table set as </w:t>
      </w:r>
      <w:r>
        <w:rPr>
          <w:rFonts w:ascii="Consolas" w:hAnsi="Consolas" w:eastAsia="Consolas"/>
          <w:sz w:val="18"/>
        </w:rPr>
        <w:t>expect_tables</w:t>
      </w:r>
      <w:r>
        <w:rPr>
          <w:rFonts w:ascii="Times New Roman" w:hAnsi="Times New Roman" w:eastAsia="Batang"/>
          <w:sz w:val="22"/>
        </w:rPr>
        <w:t xml:space="preserve"> and the report will say so:</w:t>
      </w:r>
    </w:p>
    <w:p>
      <w:pPr>
        <w:spacing w:line="240" w:lineRule="auto" w:before="120" w:after="120"/>
        <w:ind w:left="454"/>
      </w:pPr>
      <w:r>
        <w:rPr>
          <w:rFonts w:ascii="Consolas" w:hAnsi="Consolas" w:eastAsia="Consolas"/>
          <w:sz w:val="18"/>
        </w:rPr>
        <w:t>report = pgdelta.stream_dump_to_delta(</w:t>
        <w:br/>
        <w:t xml:space="preserve">    DUMP, OUTPUT, mode="overwrite", expect_pg_major=17,</w:t>
        <w:br/>
        <w:t xml:space="preserve">    expect_tables=previous_run_table_names,</w:t>
        <w:br/>
        <w:t>)</w:t>
        <w:br/>
        <w:t>if report.missing_tables:</w:t>
        <w:br/>
        <w:t xml:space="preserve">    alert(f"stopped arriving, now stale: {report.missing_tables}")</w:t>
      </w:r>
    </w:p>
    <w:p>
      <w:pPr>
        <w:spacing w:line="384" w:lineRule="auto" w:after="120"/>
        <w:jc w:val="both"/>
      </w:pPr>
      <w:r>
        <w:rPr>
          <w:rFonts w:ascii="Times New Roman" w:hAnsi="Times New Roman" w:eastAsia="Batang"/>
          <w:sz w:val="22"/>
        </w:rPr>
        <w:t>That reports it; it does not resolve it. Deciding what a stale table should do, be marked, be dropped, or be left alone, is a policy question the library cannot answer, and the answer constrains every downstream consumer. What it no longer is, is invisible.</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C. Producing a compatibility fixture</w:t>
      </w:r>
    </w:p>
    <w:p>
      <w:pPr>
        <w:spacing w:line="384" w:lineRule="auto" w:after="120"/>
        <w:jc w:val="both"/>
      </w:pPr>
      <w:r>
        <w:rPr>
          <w:rFonts w:ascii="Times New Roman" w:hAnsi="Times New Roman" w:eastAsia="Batang"/>
          <w:sz w:val="22"/>
        </w:rPr>
        <w:t xml:space="preserve">A parser bug that only reproduces on the real feed cannot be investigated if the feed cannot leave your environment. </w:t>
      </w:r>
      <w:r>
        <w:rPr>
          <w:rFonts w:ascii="Consolas" w:hAnsi="Consolas" w:eastAsia="Consolas"/>
          <w:sz w:val="18"/>
        </w:rPr>
        <w:t>tools/anonymise_dump.py</w:t>
      </w:r>
      <w:r>
        <w:rPr>
          <w:rFonts w:ascii="Times New Roman" w:hAnsi="Times New Roman" w:eastAsia="Batang"/>
          <w:sz w:val="22"/>
        </w:rPr>
        <w:t xml:space="preserve"> exists for that case.</w:t>
      </w:r>
    </w:p>
    <w:p>
      <w:pPr>
        <w:spacing w:line="240" w:lineRule="auto" w:before="120" w:after="120"/>
        <w:ind w:left="454"/>
      </w:pPr>
      <w:r>
        <w:rPr>
          <w:rFonts w:ascii="Consolas" w:hAnsi="Consolas" w:eastAsia="Consolas"/>
          <w:sz w:val="18"/>
        </w:rPr>
        <w:t>python tools/anonymise_dump.py /Volumes/main/landing/pg/day.sql fixture.sql     --max-rows 200 --audit</w:t>
      </w:r>
    </w:p>
    <w:p>
      <w:pPr>
        <w:spacing w:line="384" w:lineRule="auto" w:after="120"/>
        <w:jc w:val="both"/>
      </w:pPr>
      <w:r>
        <w:rPr>
          <w:rFonts w:ascii="Times New Roman" w:hAnsi="Times New Roman" w:eastAsia="Batang"/>
          <w:sz w:val="22"/>
        </w:rPr>
        <w:t>It runs where the dump already is. It opens no network connection and imports nothing outside the standard library, so it can be read in full before being trusted.</w:t>
      </w:r>
    </w:p>
    <w:p>
      <w:pPr>
        <w:spacing w:line="384" w:lineRule="auto" w:after="120"/>
        <w:jc w:val="both"/>
      </w:pPr>
      <w:r>
        <w:rPr>
          <w:rFonts w:ascii="Times New Roman" w:hAnsi="Times New Roman" w:eastAsia="Batang"/>
          <w:sz w:val="22"/>
        </w:rPr>
        <w:t xml:space="preserve">It preserves what breaks parsers: every DDL construct verbatim, every </w:t>
      </w:r>
      <w:r>
        <w:rPr>
          <w:rFonts w:ascii="Consolas" w:hAnsi="Consolas" w:eastAsia="Consolas"/>
          <w:sz w:val="18"/>
        </w:rPr>
        <w:t>COPY</w:t>
      </w:r>
      <w:r>
        <w:rPr>
          <w:rFonts w:ascii="Times New Roman" w:hAnsi="Times New Roman" w:eastAsia="Batang"/>
          <w:sz w:val="22"/>
        </w:rPr>
        <w:t xml:space="preserve"> header and column order, and per field the NULL-ness, the length and the character classes, so escapes, multi-byte characters and long values still occur where they did. It replaces every data byte with a value derived from the field's position under a per-run key, never from its content, so the output cannot be correlated back even by someone holding both files.</w:t>
      </w:r>
    </w:p>
    <w:p>
      <w:pPr>
        <w:spacing w:line="384" w:lineRule="auto" w:after="120"/>
        <w:jc w:val="both"/>
      </w:pPr>
      <w:r>
        <w:rPr>
          <w:rFonts w:ascii="Times New Roman" w:hAnsi="Times New Roman" w:eastAsia="Batang"/>
          <w:sz w:val="22"/>
        </w:rPr>
        <w:t xml:space="preserve">Dates, timestamps, numbers and booleans are regenerated as valid values of their kind rather than having their characters replaced. This matters: scrambling the digits of </w:t>
      </w:r>
      <w:r>
        <w:rPr>
          <w:rFonts w:ascii="Consolas" w:hAnsi="Consolas" w:eastAsia="Consolas"/>
          <w:sz w:val="18"/>
        </w:rPr>
        <w:t>2026-01-31</w:t>
      </w:r>
      <w:r>
        <w:rPr>
          <w:rFonts w:ascii="Times New Roman" w:hAnsi="Times New Roman" w:eastAsia="Batang"/>
          <w:sz w:val="22"/>
        </w:rPr>
        <w:t xml:space="preserve"> yields </w:t>
      </w:r>
      <w:r>
        <w:rPr>
          <w:rFonts w:ascii="Consolas" w:hAnsi="Consolas" w:eastAsia="Consolas"/>
          <w:sz w:val="18"/>
        </w:rPr>
        <w:t>2099-45-99</w:t>
      </w:r>
      <w:r>
        <w:rPr>
          <w:rFonts w:ascii="Times New Roman" w:hAnsi="Times New Roman" w:eastAsia="Batang"/>
          <w:sz w:val="22"/>
        </w:rPr>
        <w:t>, which is not a date, and a fixture that will not load tests nothing.</w:t>
      </w:r>
    </w:p>
    <w:p>
      <w:pPr>
        <w:spacing w:line="384" w:lineRule="auto" w:after="120"/>
        <w:jc w:val="both"/>
      </w:pPr>
      <w:r>
        <w:rPr>
          <w:rFonts w:ascii="Consolas" w:hAnsi="Consolas" w:eastAsia="Consolas"/>
          <w:sz w:val="18"/>
        </w:rPr>
        <w:t>--audit</w:t>
      </w:r>
      <w:r>
        <w:rPr>
          <w:rFonts w:ascii="Times New Roman" w:hAnsi="Times New Roman" w:eastAsia="Batang"/>
          <w:sz w:val="22"/>
        </w:rPr>
        <w:t xml:space="preserve"> re-reads both files afterwards and fails if any token of six or more characters from a data field survived. That catches the failure that matters, a value passed through untouched, but it cannot prove the result is safe. </w:t>
      </w:r>
      <w:r>
        <w:rPr>
          <w:rFonts w:ascii="Times New Roman" w:hAnsi="Times New Roman" w:eastAsia="Batang"/>
          <w:b/>
          <w:sz w:val="22"/>
        </w:rPr>
        <w:t>Read the output before sharing it.</w:t>
      </w:r>
    </w:p>
    <w:p>
      <w:pPr>
        <w:spacing w:line="384" w:lineRule="auto" w:after="120"/>
        <w:jc w:val="both"/>
      </w:pPr>
      <w:r>
        <w:rPr>
          <w:rFonts w:ascii="Times New Roman" w:hAnsi="Times New Roman" w:eastAsia="Batang"/>
          <w:sz w:val="22"/>
        </w:rPr>
        <w:t xml:space="preserve">Add </w:t>
      </w:r>
      <w:r>
        <w:rPr>
          <w:rFonts w:ascii="Consolas" w:hAnsi="Consolas" w:eastAsia="Consolas"/>
          <w:sz w:val="18"/>
        </w:rPr>
        <w:t>--rename-identifiers</w:t>
      </w:r>
      <w:r>
        <w:rPr>
          <w:rFonts w:ascii="Times New Roman" w:hAnsi="Times New Roman" w:eastAsia="Batang"/>
          <w:sz w:val="22"/>
        </w:rPr>
        <w:t xml:space="preserve"> if table and column names are themselves sensitive. It is off by default because a parser bug is often tied to the exact characters in a name, and renaming would hide the very thing being reported.</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Pass </w:t>
            </w:r>
            <w:r>
              <w:rPr>
                <w:rFonts w:ascii="Consolas" w:hAnsi="Consolas" w:eastAsia="Consolas"/>
                <w:sz w:val="18"/>
              </w:rPr>
              <w:t>expect_tables</w:t>
            </w:r>
            <w:r>
              <w:rPr>
                <w:rFonts w:ascii="Times New Roman" w:hAnsi="Times New Roman" w:eastAsia="Batang"/>
                <w:sz w:val="22"/>
              </w:rPr>
              <w:t xml:space="preserve"> and alert on </w:t>
            </w:r>
            <w:r>
              <w:rPr>
                <w:rFonts w:ascii="Consolas" w:hAnsi="Consolas" w:eastAsia="Consolas"/>
                <w:sz w:val="18"/>
              </w:rPr>
              <w:t>missing_tables</w:t>
            </w:r>
            <w:r>
              <w:rPr>
                <w:rFonts w:ascii="Times New Roman" w:hAnsi="Times New Roman" w:eastAsia="Batang"/>
                <w:sz w:val="22"/>
              </w:rPr>
              <w:t>. The library reports it but will not act on it</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Consolas" w:hAnsi="Consolas" w:eastAsia="Consolas"/>
                <w:sz w:val="18"/>
              </w:rPr>
              <w:t>overwrite</w:t>
            </w:r>
            <w:r>
              <w:rPr>
                <w:rFonts w:ascii="Times New Roman" w:hAnsi="Times New Roman" w:eastAsia="Batang"/>
                <w:sz w:val="22"/>
              </w:rPr>
              <w:t xml:space="preserve"> treats the dump as the truth, so a dropped column is dropped</w:t>
            </w:r>
          </w:p>
        </w:tc>
        <w:tc>
          <w:tcPr>
            <w:tcW w:type="dxa" w:w="3135"/>
          </w:tcPr>
          <w:p>
            <w:r>
              <w:rPr>
                <w:rFonts w:ascii="Times New Roman" w:hAnsi="Times New Roman" w:eastAsia="Batang"/>
                <w:sz w:val="22"/>
              </w:rPr>
              <w:t>A downstream query referencing it breaks</w:t>
            </w:r>
          </w:p>
        </w:tc>
        <w:tc>
          <w:tcPr>
            <w:tcW w:type="dxa" w:w="3135"/>
          </w:tcPr>
          <w:p>
            <w:r>
              <w:rPr>
                <w:rFonts w:ascii="Times New Roman" w:hAnsi="Times New Roman" w:eastAsia="Batang"/>
                <w:sz w:val="22"/>
              </w:rPr>
              <w:t xml:space="preserve">Alert on </w:t>
            </w:r>
            <w:r>
              <w:rPr>
                <w:rFonts w:ascii="Consolas" w:hAnsi="Consolas" w:eastAsia="Consolas"/>
                <w:sz w:val="18"/>
              </w:rPr>
              <w:t>schema_drift</w:t>
            </w:r>
            <w:r>
              <w:rPr>
                <w:rFonts w:ascii="Times New Roman" w:hAnsi="Times New Roman" w:eastAsia="Batang"/>
                <w:sz w:val="22"/>
              </w:rPr>
              <w:t>; there is no merge mode</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Registering the result as a Unity Catalog external table is manual</w:t>
            </w:r>
          </w:p>
        </w:tc>
        <w:tc>
          <w:tcPr>
            <w:tcW w:type="dxa" w:w="3135"/>
          </w:tcPr>
          <w:p>
            <w:r>
              <w:rPr>
                <w:rFonts w:ascii="Times New Roman" w:hAnsi="Times New Roman" w:eastAsia="Batang"/>
                <w:sz w:val="22"/>
              </w:rPr>
              <w:t>The tables exist but no catalog entry does</w:t>
            </w:r>
          </w:p>
        </w:tc>
        <w:tc>
          <w:tcPr>
            <w:tcW w:type="dxa" w:w="3135"/>
          </w:tcPr>
          <w:p>
            <w:r>
              <w:rPr>
                <w:rFonts w:ascii="Times New Roman" w:hAnsi="Times New Roman" w:eastAsia="Batang"/>
                <w:sz w:val="22"/>
              </w:rPr>
              <w:t xml:space="preserve">Run </w:t>
            </w:r>
            <w:r>
              <w:rPr>
                <w:rFonts w:ascii="Consolas" w:hAnsi="Consolas" w:eastAsia="Consolas"/>
                <w:sz w:val="18"/>
              </w:rPr>
              <w:t>CREATE TABLE ... LOCATION</w:t>
            </w:r>
            <w:r>
              <w:rPr>
                <w:rFonts w:ascii="Times New Roman" w:hAnsi="Times New Roman" w:eastAsia="Batang"/>
                <w:sz w:val="22"/>
              </w:rPr>
              <w:t xml:space="preserve"> yourself; delta-rs cannot call the catalog</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