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Architecture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Technical architecture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Eight kernels (composite hashing, schema validation, JSON normalization, regex cleanup, output-equivalence testing, deduplication, join, aggregate) are implemented end to end, behind both the Rust and the Python surface. Filter and project need no witchhat-specific kernel (Arrow's own compute kernels already cover them); see Chapter XVIII for what remains.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integrating, operating, or extending this library. No prior context assumed.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api.md</w:t>
      </w:r>
      <w:r>
        <w:rPr>
          <w:rFonts w:ascii="Times New Roman" w:hAnsi="Times New Roman" w:eastAsia="Batang"/>
          <w:sz w:val="22"/>
        </w:rPr>
        <w:t xml:space="preserve"> for the callable surface,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1.4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Rationale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Scope and non-goals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Data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Arrow as the interop boundary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not a bespoke format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Composite Hashing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Versioning discipline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Type tagging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Null and float handling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The two fingerprint shapes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Schema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Numeric widening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Nullability compatibility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Breaking versus informational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JSON Normalization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Malformed versus type-mismatched versus absent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Why only four target types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Regex Cleanup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Two ways to get 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only presets are versioned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VII. Output Equivalence Testing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Column order versus column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What "equivalent" does not mean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VIII. Deduplication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filter and project are not wrapped here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IX. 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Why not built on </w:t>
      </w:r>
      <w:r>
        <w:rPr>
          <w:rFonts w:ascii="Consolas" w:hAnsi="Consolas" w:eastAsia="Consolas"/>
          <w:sz w:val="18"/>
        </w:rPr>
        <w:t>hash_batch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Column-name collisions and nullability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Row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X. 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group keys use the same row format as 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Min/Max preserve type; Sum/Mean go through </w:t>
      </w:r>
      <w:r>
        <w:rPr>
          <w:rFonts w:ascii="Consolas" w:hAnsi="Consolas" w:eastAsia="Consolas"/>
          <w:sz w:val="18"/>
        </w:rPr>
        <w:t>f64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The empty-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case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XI. CPU Feature Detection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does today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The constraint it exists to enforce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XII. Concurrency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XIII. Failure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XIV. Security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XV. Python Binding Boundary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The pyo3 version pin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Two-crate split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XVI. Dependencies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XVII. Assessment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Disadvantages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Conditions under which this design is inappropriate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XVIII. Status and What Comes Next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Glossary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Type tags used by the hashing kernel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Arrow types supported by </w:t>
      </w:r>
      <w:r>
        <w:rPr>
          <w:rFonts w:ascii="Consolas" w:hAnsi="Consolas" w:eastAsia="Consolas"/>
          <w:sz w:val="18"/>
        </w:rPr>
        <w:t>hash_batch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Numeric widenings accepted under </w:t>
      </w:r>
      <w:r>
        <w:rPr>
          <w:rFonts w:ascii="Consolas" w:hAnsi="Consolas" w:eastAsia="Consolas"/>
          <w:sz w:val="18"/>
        </w:rPr>
        <w:t>allow_numeric_widening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JSON-to-Arrow type mapping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Built-in cleanup presets (</w:t>
      </w:r>
      <w:r>
        <w:rPr>
          <w:rFonts w:ascii="Consolas" w:hAnsi="Consolas" w:eastAsia="Consolas"/>
          <w:sz w:val="18"/>
        </w:rPr>
        <w:t>v1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10-1&gt;</w:t>
      </w:r>
      <w:r>
        <w:rPr>
          <w:rFonts w:ascii="Times New Roman" w:hAnsi="Times New Roman" w:eastAsia="Batang"/>
          <w:sz w:val="22"/>
        </w:rPr>
        <w:t xml:space="preserve"> Aggregate functions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16-1&gt;</w:t>
      </w:r>
      <w:r>
        <w:rPr>
          <w:rFonts w:ascii="Times New Roman" w:hAnsi="Times New Roman" w:eastAsia="Batang"/>
          <w:sz w:val="22"/>
        </w:rPr>
        <w:t xml:space="preserve"> Direct dependencies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Glossary of terms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1-1]</w:t>
      </w:r>
      <w:r>
        <w:rPr>
          <w:rFonts w:ascii="Times New Roman" w:hAnsi="Times New Roman" w:eastAsia="Batang"/>
          <w:sz w:val="22"/>
        </w:rPr>
        <w:t xml:space="preserve"> Where witchhat sits between Python and Arrow-native data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3-1]</w:t>
      </w:r>
      <w:r>
        <w:rPr>
          <w:rFonts w:ascii="Times New Roman" w:hAnsi="Times New Roman" w:eastAsia="Batang"/>
          <w:sz w:val="22"/>
        </w:rPr>
        <w:t xml:space="preserve"> Row hash construction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4-1]</w:t>
      </w:r>
      <w:r>
        <w:rPr>
          <w:rFonts w:ascii="Times New Roman" w:hAnsi="Times New Roman" w:eastAsia="Batang"/>
          <w:sz w:val="22"/>
        </w:rPr>
        <w:t xml:space="preserve"> Shape of a schema 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7-1]</w:t>
      </w:r>
      <w:r>
        <w:rPr>
          <w:rFonts w:ascii="Times New Roman" w:hAnsi="Times New Roman" w:eastAsia="Batang"/>
          <w:sz w:val="22"/>
        </w:rPr>
        <w:t xml:space="preserve"> Shape of an equivalence check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9-1]</w:t>
      </w:r>
      <w:r>
        <w:rPr>
          <w:rFonts w:ascii="Times New Roman" w:hAnsi="Times New Roman" w:eastAsia="Batang"/>
          <w:sz w:val="22"/>
        </w:rPr>
        <w:t xml:space="preserve"> Shape of a join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witchhat is a Rust core, exposed to Python via PyO3, aimed at Spark and Databricks workloads: replacing Spark-native transformations (composite hashing, schema validation, JSON normalization, regex-heavy cleanup, join, aggregate) with native kernels that run an order of magnitude faster on a single node, while staying comparable to Spark's own output.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Rationale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Spark's per-row and per-column transformation UDFs cross the JVM/Python boundary for every batch, and generic UDF execution carries interpreter and serialization overhead that a purpose-built native kernel does not pay. For workloads that are CPU-bound rather than shuffle-bound, that overhead is often the dominant cost. witchhat's kernels are meant to be dropped into that gap: called from a Databricks notebook or job exactly where a Spark UDF would have been, but running as compiled Rust against Arrow's native memory layout instead of interpreted per-row logic.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Scope and non-goals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In scope, as of this document's version: composite row and table hashing (Chapter III); schema fingerprinting and validation (Chapter IV); JSON normalization (Chapter V); regex cleanup (Chapter VI); output-equivalence testing (Chapter VII); deduplication (Chapter VIII); join (Chapter IX); aggregate (Chapter X); CPU feature detection as infrastructure for future SIMD kernels (Chapter XI).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Explicitly not in scope, by design: filter (row selection by a boolean predicate) and project (column selection/reorder) already exist as Arrow compute kernels (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RecordBatch::project</w:t>
      </w:r>
      <w:r>
        <w:rPr>
          <w:rFonts w:ascii="Times New Roman" w:hAnsi="Times New Roman" w:eastAsia="Batang"/>
          <w:sz w:val="22"/>
        </w:rPr>
        <w:t xml:space="preserve">) with no witchhat-specific behaviour to add, so witchhat does not wrap them. See Chapter XVIII and the repository's </w:t>
      </w:r>
      <w:r>
        <w:rPr>
          <w:rFonts w:ascii="Consolas" w:hAnsi="Consolas" w:eastAsia="Consolas"/>
          <w:sz w:val="18"/>
        </w:rPr>
        <w:t>README.md</w:t>
      </w:r>
      <w:r>
        <w:rPr>
          <w:rFonts w:ascii="Times New Roman" w:hAnsi="Times New Roman" w:eastAsia="Batang"/>
          <w:sz w:val="22"/>
        </w:rPr>
        <w:t xml:space="preserve"> for anything still genuinely open.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Also not in scope, by design: witchhat is not a distributed engine. It targets single-node throughput on one Databricks driver or worker; splitting work across a Spark cluster is the caller's job, not this library's.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Spark UDF (JVM &lt;-&gt; Python &lt;-&gt; interpreted row logic)</w:t>
        <w:br/>
        <w:t>Databricks notebook/job -&gt; witchhat kernel (Rust, Arrow-native, single node)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1-1] Where witchhat sits between Python and Arrow-native data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Data Model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Arrow as the interop boundary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re-exports </w:t>
      </w:r>
      <w:r>
        <w:rPr>
          <w:rFonts w:ascii="Consolas" w:hAnsi="Consolas" w:eastAsia="Consolas"/>
          <w:sz w:val="18"/>
        </w:rPr>
        <w:t>arrow_schema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arrow_array</w:t>
      </w:r>
      <w:r>
        <w:rPr>
          <w:rFonts w:ascii="Times New Roman" w:hAnsi="Times New Roman" w:eastAsia="Batang"/>
          <w:sz w:val="22"/>
        </w:rPr>
        <w:t xml:space="preserve"> types (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Field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) rather than defining its own columnar representation. Arrow is already the format Spark, Databricks, pyarrow, polars and pandas converge on, so a batch can move from any of those into a witchhat kernel and back with no copy: the Python binding boundary (Chapter XV) accepts anything implementing the Arrow C Data interface,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not a bespoke format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 hand-rolled columnar type (as an earlier prototype of this repository had, for an unrelated monitoring workload) would need its own conversion layer at every boundary this library touches: pyarrow, Spark's Arrow-based UDF path, Delta/Parquet readers. Arrow removes that layer entirely, at the cost of depending on a large external crate family. That cost is accepted because every consumer this library targets already pays it.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Composite Hashing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hash_batch(batch, columns, version)</w:t>
      </w:r>
      <w:r>
        <w:rPr>
          <w:rFonts w:ascii="Times New Roman" w:hAnsi="Times New Roman" w:eastAsia="Batang"/>
          <w:sz w:val="22"/>
        </w:rPr>
        <w:t xml:space="preserve"> fingerprints the named columns of a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per row. It starts from a version-specific seed and folds each column's per-cell hash into a running accumulator with an order-sensitive combiner, so </w:t>
      </w:r>
      <w:r>
        <w:rPr>
          <w:rFonts w:ascii="Consolas" w:hAnsi="Consolas" w:eastAsia="Consolas"/>
          <w:sz w:val="18"/>
        </w:rPr>
        <w:t>(a, b)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(b, a)</w:t>
      </w:r>
      <w:r>
        <w:rPr>
          <w:rFonts w:ascii="Times New Roman" w:hAnsi="Times New Roman" w:eastAsia="Batang"/>
          <w:sz w:val="22"/>
        </w:rPr>
        <w:t xml:space="preserve"> hash differently for the same values: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seed(version)</w:t>
        <w:br/>
        <w:t xml:space="preserve">  -&gt; combine(column[0][row])</w:t>
        <w:br/>
        <w:t xml:space="preserve">  -&gt; combine(column[1][row])</w:t>
        <w:br/>
        <w:t xml:space="preserve">  -&gt; ... -&gt; row hash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3-1] Row hash construction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hash_batch_all_columns</w:t>
      </w:r>
      <w:r>
        <w:rPr>
          <w:rFonts w:ascii="Times New Roman" w:hAnsi="Times New Roman" w:eastAsia="Batang"/>
          <w:sz w:val="22"/>
        </w:rPr>
        <w:t xml:space="preserve"> is the same operation over every column in schema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Versioning discipline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color w:val="003399"/>
          <w:sz w:val="22"/>
        </w:rPr>
        <w:t>`HashVersion`</w:t>
      </w:r>
      <w:r>
        <w:rPr>
          <w:rFonts w:ascii="Times New Roman" w:hAnsi="Times New Roman" w:eastAsia="Batang"/>
          <w:sz w:val="18"/>
        </w:rPr>
        <w:t xml:space="preserve"> (../crates/witchhat-core/src/hash.rs)</w:t>
      </w:r>
      <w:r>
        <w:rPr>
          <w:rFonts w:ascii="Times New Roman" w:hAnsi="Times New Roman" w:eastAsia="Batang"/>
          <w:sz w:val="22"/>
        </w:rPr>
        <w:t xml:space="preserve"> names one exact, frozen algorithm.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is the only version today. A future improvement to the algorithm (a faster mixer, a wider type table) ships as </w:t>
      </w:r>
      <w:r>
        <w:rPr>
          <w:rFonts w:ascii="Consolas" w:hAnsi="Consolas" w:eastAsia="Consolas"/>
          <w:sz w:val="18"/>
        </w:rPr>
        <w:t>"v2"</w:t>
      </w:r>
      <w:r>
        <w:rPr>
          <w:rFonts w:ascii="Times New Roman" w:hAnsi="Times New Roman" w:eastAsia="Batang"/>
          <w:sz w:val="22"/>
        </w:rPr>
        <w:t xml:space="preserve">, never as a silent change to what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produces: a fingerprint stored today, or used as a partition key, must still be reproducible next year under the same version name. Every kernel that defines its own named behaviour follows this same discipline with its own version enum: </w:t>
      </w:r>
      <w:r>
        <w:rPr>
          <w:rFonts w:ascii="Times New Roman" w:hAnsi="Times New Roman" w:eastAsia="Batang"/>
          <w:color w:val="003399"/>
          <w:sz w:val="22"/>
        </w:rPr>
        <w:t>`NormalizeVersion`</w:t>
      </w:r>
      <w:r>
        <w:rPr>
          <w:rFonts w:ascii="Times New Roman" w:hAnsi="Times New Roman" w:eastAsia="Batang"/>
          <w:sz w:val="18"/>
        </w:rPr>
        <w:t xml:space="preserve"> (Chapter V)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Times New Roman" w:hAnsi="Times New Roman" w:eastAsia="Batang"/>
          <w:color w:val="003399"/>
          <w:sz w:val="22"/>
        </w:rPr>
        <w:t>`CleanupVersion`</w:t>
      </w:r>
      <w:r>
        <w:rPr>
          <w:rFonts w:ascii="Times New Roman" w:hAnsi="Times New Roman" w:eastAsia="Batang"/>
          <w:sz w:val="18"/>
        </w:rPr>
        <w:t xml:space="preserve"> (Chapter VI)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(Chapters IX-X) do not, since neither defines a witchhat-specific algorithm the way hashing does; see Section 2 of each.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Type tagging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Two Arrow columns of different types can share a byte pattern: an 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value of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value of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both contain the bytes </w:t>
      </w:r>
      <w:r>
        <w:rPr>
          <w:rFonts w:ascii="Consolas" w:hAnsi="Consolas" w:eastAsia="Consolas"/>
          <w:sz w:val="18"/>
        </w:rPr>
        <w:t>[5, 0, 0, 0]</w:t>
      </w:r>
      <w:r>
        <w:rPr>
          <w:rFonts w:ascii="Times New Roman" w:hAnsi="Times New Roman" w:eastAsia="Batang"/>
          <w:sz w:val="22"/>
        </w:rPr>
        <w:t xml:space="preserve"> in their common prefix, and a </w:t>
      </w:r>
      <w:r>
        <w:rPr>
          <w:rFonts w:ascii="Consolas" w:hAnsi="Consolas" w:eastAsia="Consolas"/>
          <w:sz w:val="18"/>
        </w:rPr>
        <w:t>Boolean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true</w:t>
      </w:r>
      <w:r>
        <w:rPr>
          <w:rFonts w:ascii="Times New Roman" w:hAnsi="Times New Roman" w:eastAsia="Batang"/>
          <w:sz w:val="22"/>
        </w:rPr>
        <w:t xml:space="preserve"> is the single byte </w:t>
      </w:r>
      <w:r>
        <w:rPr>
          <w:rFonts w:ascii="Consolas" w:hAnsi="Consolas" w:eastAsia="Consolas"/>
          <w:sz w:val="18"/>
        </w:rPr>
        <w:t>1</w:t>
      </w:r>
      <w:r>
        <w:rPr>
          <w:rFonts w:ascii="Times New Roman" w:hAnsi="Times New Roman" w:eastAsia="Batang"/>
          <w:sz w:val="22"/>
        </w:rPr>
        <w:t>. Every value hashed is therefore prefixed with a type key before hashing, so values that would otherwise collide on raw bytes never do. For a type with parameters that change what a raw value means (</w:t>
      </w:r>
      <w:r>
        <w:rPr>
          <w:rFonts w:ascii="Consolas" w:hAnsi="Consolas" w:eastAsia="Consolas"/>
          <w:sz w:val="18"/>
        </w:rPr>
        <w:t>Time32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Time64</w:t>
      </w:r>
      <w:r>
        <w:rPr>
          <w:rFonts w:ascii="Times New Roman" w:hAnsi="Times New Roman" w:eastAsia="Batang"/>
          <w:sz w:val="22"/>
        </w:rPr>
        <w:t xml:space="preserve">'s unit, 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's unit and timezone, </w:t>
      </w:r>
      <w:r>
        <w:rPr>
          <w:rFonts w:ascii="Consolas" w:hAnsi="Consolas" w:eastAsia="Consolas"/>
          <w:sz w:val="18"/>
        </w:rPr>
        <w:t>Decimal128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Decimal256</w:t>
      </w:r>
      <w:r>
        <w:rPr>
          <w:rFonts w:ascii="Times New Roman" w:hAnsi="Times New Roman" w:eastAsia="Batang"/>
          <w:sz w:val="22"/>
        </w:rPr>
        <w:t xml:space="preserve">'s precision and scale), those parameters are folded into the type key too, not just a fixed tag byte: a </w:t>
      </w:r>
      <w:r>
        <w:rPr>
          <w:rFonts w:ascii="Consolas" w:hAnsi="Consolas" w:eastAsia="Consolas"/>
          <w:sz w:val="18"/>
        </w:rPr>
        <w:t>Time32(Second)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 </w:t>
      </w:r>
      <w:r>
        <w:rPr>
          <w:rFonts w:ascii="Consolas" w:hAnsi="Consolas" w:eastAsia="Consolas"/>
          <w:sz w:val="18"/>
        </w:rPr>
        <w:t>Time32(Millisecond)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are different instants, and a naive 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 and one carrying an explicit </w:t>
      </w:r>
      <w:r>
        <w:rPr>
          <w:rFonts w:ascii="Consolas" w:hAnsi="Consolas" w:eastAsia="Consolas"/>
          <w:sz w:val="18"/>
        </w:rPr>
        <w:t>"UTC"</w:t>
      </w:r>
      <w:r>
        <w:rPr>
          <w:rFonts w:ascii="Times New Roman" w:hAnsi="Times New Roman" w:eastAsia="Batang"/>
          <w:sz w:val="22"/>
        </w:rPr>
        <w:t xml:space="preserve"> are not interchangeable (the same lesson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 learned the hard way about naive-vs-UTC timestamps, noted in its own </w:t>
      </w:r>
      <w:r>
        <w:rPr>
          <w:rFonts w:ascii="Consolas" w:hAnsi="Consolas" w:eastAsia="Consolas"/>
          <w:sz w:val="18"/>
        </w:rPr>
        <w:t>CLAUDE.md</w:t>
      </w:r>
      <w:r>
        <w:rPr>
          <w:rFonts w:ascii="Times New Roman" w:hAnsi="Times New Roman" w:eastAsia="Batang"/>
          <w:sz w:val="22"/>
        </w:rPr>
        <w:t>), so both hash differently despite identical underlying bytes.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3-1&gt; Type tags used by the hashing kernel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Tag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0x00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(reserved: marks a null, appended after the value's own tag)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0x01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0x02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0x09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Int8/16/32/64, UInt8/16/32/64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0x0A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0x0B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Float32, Float64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Utf8 / LargeUtf8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0x0D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Binary / LargeBinary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0x0E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0x0F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Date32, Date64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0x10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Time32 (+ unit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0x11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Time64 (+ unit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Timestamp (+ unit byte, + timezone bytes if present)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Decimal128 (+ precision byte, + scale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0x14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Decimal256 (+ precision byte, + scale byte)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3-2&gt; Arrow types supported by </w:t>
      </w:r>
      <w:r>
        <w:rPr>
          <w:rFonts w:ascii="Consolas" w:hAnsi="Consolas" w:eastAsia="Consolas"/>
          <w:sz w:val="18"/>
        </w:rPr>
        <w:t>hash_batch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Supported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Not yet supported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Boolean, all integer widths, Float32/64, Utf8/LargeUtf8, Binary/LargeBinary, Date32/64, Time32(Second\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Millisecond), Time64(Microsecond\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column outside the supported set returns </w:t>
      </w:r>
      <w:r>
        <w:rPr>
          <w:rFonts w:ascii="Consolas" w:hAnsi="Consolas" w:eastAsia="Consolas"/>
          <w:sz w:val="18"/>
        </w:rPr>
        <w:t>Error::UnsupportedType</w:t>
      </w:r>
      <w:r>
        <w:rPr>
          <w:rFonts w:ascii="Times New Roman" w:hAnsi="Times New Roman" w:eastAsia="Batang"/>
          <w:sz w:val="22"/>
        </w:rPr>
        <w:t xml:space="preserve"> rather than silently falling back to a text representation; see Chapter XIII.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(Chapter IX)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group keys (Chapter X) are not limited to this table, since neither is built on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; see each chapter's Section 2.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Null and float handling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hashes distinctly from every non-null value of its column, including an empty string or a numeric zero, by hashing a fixed sentinel byte instead of the (absent) value's bytes.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values are canonicalized before hashing: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collapses to Rust's canonical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constant, and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is normalized to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>. This makes the hash agree with IEEE-754 equality rather than with the bit pattern, which would make two representations of the same logical float hash differently.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The two fingerprint shapes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hash_batch_all_columns</w:t>
      </w:r>
      <w:r>
        <w:rPr>
          <w:rFonts w:ascii="Times New Roman" w:hAnsi="Times New Roman" w:eastAsia="Batang"/>
          <w:sz w:val="22"/>
        </w:rPr>
        <w:t xml:space="preserve"> produce a per-row fingerprint: the shape a dedup key or change-data-capture identity needs (Chapter VIII uses exactly this). </w:t>
      </w:r>
      <w:r>
        <w:rPr>
          <w:rFonts w:ascii="Consolas" w:hAnsi="Consolas" w:eastAsia="Consolas"/>
          <w:sz w:val="18"/>
        </w:rPr>
        <w:t>table_ fingerprint</w:t>
      </w:r>
      <w:r>
        <w:rPr>
          <w:rFonts w:ascii="Times New Roman" w:hAnsi="Times New Roman" w:eastAsia="Batang"/>
          <w:sz w:val="22"/>
        </w:rPr>
        <w:t xml:space="preserve"> folds a whole array of row hashes into one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with wrapping addition, which is commutative and associative, so a re-shuffled or re-partitioned batch fingerprints the same. Chapter VII's equivalence check is built on this second shape.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Schema Validation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options)</w:t>
      </w:r>
      <w:r>
        <w:rPr>
          <w:rFonts w:ascii="Times New Roman" w:hAnsi="Times New Roman" w:eastAsia="Batang"/>
          <w:sz w:val="22"/>
        </w:rPr>
        <w:t xml:space="preserve"> compares two schemas column by column,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 rather than a bare yes/no: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expected.fields ---+                     missing:      in expected, not actual</w:t>
        <w:br/>
        <w:t xml:space="preserve">                    +--&gt; validate_schema  unexpected:   in actual, not expected</w:t>
        <w:br/>
        <w:t>actual.fields   ----+                     retyped:      present in both, type differs</w:t>
        <w:br/>
        <w:t xml:space="preserve">                                           nullability:  present in both, nullability tightened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4-1] Shape of a schema 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complements 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: fingerprinting only says "these differ",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says how, which is what a caller needs to decide whether a difference is safe to proceed with.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Numeric widening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By default a column's type must match exactly. </w:t>
      </w:r>
      <w:r>
        <w:rPr>
          <w:rFonts w:ascii="Consolas" w:hAnsi="Consolas" w:eastAsia="Consolas"/>
          <w:sz w:val="18"/>
        </w:rPr>
        <w:t>ValidateSchemaOptions.allow_numeric_ widening</w:t>
      </w:r>
      <w:r>
        <w:rPr>
          <w:rFonts w:ascii="Times New Roman" w:hAnsi="Times New Roman" w:eastAsia="Batang"/>
          <w:sz w:val="22"/>
        </w:rPr>
        <w:t xml:space="preserve"> relaxes this for one specific, safe direction: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being a wider numeric type than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within the same signedness and int-vs-float class.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4-1&gt; Numeric widenings accepted under </w:t>
      </w:r>
      <w:r>
        <w:rPr>
          <w:rFonts w:ascii="Consolas" w:hAnsi="Consolas" w:eastAsia="Consolas"/>
          <w:sz w:val="18"/>
        </w:rPr>
        <w:t>allow_numeric_widening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Expected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Accepted actual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Int8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Int16, Int32, 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Int16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Int32, 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UInt8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UInt16, UInt32, 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UInt16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UInt32, 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Float64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 narrower actual type, a cross-signedness change, or an integer-to-float change is never accepted, even with the option on: those can silently change what a value means, not just how many bits hold it. Deliberately more conservative than Spark's own implicit-cast rules, since witchhat has no way to know whether a given caller's downstream logic can tolerate the precision or sign change.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Nullability compatibility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's nullability is checked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's in one direction only: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may be 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is too, or non-nullable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allows null, but not 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declares the column non-nullable. A promise of "never null" is the only direction that can break a caller.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Breaking versus informational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distinguishes what most callers cannot safely ignore from what is merely informational. </w:t>
      </w:r>
      <w:r>
        <w:rPr>
          <w:rFonts w:ascii="Consolas" w:hAnsi="Consolas" w:eastAsia="Consolas"/>
          <w:sz w:val="18"/>
        </w:rPr>
        <w:t>missing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retyped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nullability</w:t>
      </w:r>
      <w:r>
        <w:rPr>
          <w:rFonts w:ascii="Times New Roman" w:hAnsi="Times New Roman" w:eastAsia="Batang"/>
          <w:sz w:val="22"/>
        </w:rPr>
        <w:t xml:space="preserve"> entries make </w:t>
      </w:r>
      <w:r>
        <w:rPr>
          <w:rFonts w:ascii="Consolas" w:hAnsi="Consolas" w:eastAsia="Consolas"/>
          <w:sz w:val="18"/>
        </w:rPr>
        <w:t>is_breaking()</w:t>
      </w:r>
      <w:r>
        <w:rPr>
          <w:rFonts w:ascii="Times New Roman" w:hAnsi="Times New Roman" w:eastAsia="Batang"/>
          <w:sz w:val="22"/>
        </w:rPr>
        <w:t xml:space="preserve"> true. An </w:t>
      </w:r>
      <w:r>
        <w:rPr>
          <w:rFonts w:ascii="Consolas" w:hAnsi="Consolas" w:eastAsia="Consolas"/>
          <w:sz w:val="18"/>
        </w:rPr>
        <w:t>unexpected</w:t>
      </w:r>
      <w:r>
        <w:rPr>
          <w:rFonts w:ascii="Times New Roman" w:hAnsi="Times New Roman" w:eastAsia="Batang"/>
          <w:sz w:val="22"/>
        </w:rPr>
        <w:t xml:space="preserve"> column does not: additive schema evolution does not usually invalidate code written against the old, narrower schema. Chapter VII's equivalence check is deliberately </w:t>
      </w:r>
      <w:r>
        <w:rPr>
          <w:rFonts w:ascii="Times New Roman" w:hAnsi="Times New Roman" w:eastAsia="Batang"/>
          <w:i/>
          <w:sz w:val="22"/>
        </w:rPr>
        <w:t>stricter</w:t>
      </w:r>
      <w:r>
        <w:rPr>
          <w:rFonts w:ascii="Times New Roman" w:hAnsi="Times New Roman" w:eastAsia="Batang"/>
          <w:sz w:val="22"/>
        </w:rPr>
        <w:t xml:space="preserve"> than this distinction (Section 3 there explains why).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JSON Normalization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normalize_json(json, schema, version)</w:t>
      </w:r>
      <w:r>
        <w:rPr>
          <w:rFonts w:ascii="Times New Roman" w:hAnsi="Times New Roman" w:eastAsia="Batang"/>
          <w:sz w:val="22"/>
        </w:rPr>
        <w:t xml:space="preserve"> parses one JSON object per row of a </w:t>
      </w: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 column into a fixed target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returning both the resulting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and a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. A target field's name is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into the JSON object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 reads </w:t>
      </w:r>
      <w:r>
        <w:rPr>
          <w:rFonts w:ascii="Consolas" w:hAnsi="Consolas" w:eastAsia="Consolas"/>
          <w:sz w:val="18"/>
        </w:rPr>
        <w:t>{"address": {"city": ...}}</w:t>
      </w:r>
      <w:r>
        <w:rPr>
          <w:rFonts w:ascii="Times New Roman" w:hAnsi="Times New Roman" w:eastAsia="Batang"/>
          <w:sz w:val="22"/>
        </w:rPr>
        <w:t>), so one level of nested-object flattening is supported without a caller having to pre-flatten the JSON themselves.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5-1&gt; JSON-to-Arrow type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JSON type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Target Arrow type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string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Utf8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number (integral)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number (any)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Times New Roman" w:hAnsi="Times New Roman" w:eastAsia="Batang"/>
                <w:sz w:val="22"/>
              </w:rPr>
              <w:t>, absent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(any of the above; see Section 2)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object, array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Not supported as a leaf value; see Section 2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Malformed versus type-mismatched versus absent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Three distinct situations produce a null, and only one of them is counted as a problem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, following the same "structural problems are counted, type uncertainty degrades quietly" split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 uses for its own third-party input: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row's JSON does not parse, or is not an object at the top level.</w:t>
      </w:r>
      <w:r>
        <w:rPr>
          <w:rFonts w:ascii="Times New Roman" w:hAnsi="Times New Roman" w:eastAsia="Batang"/>
          <w:sz w:val="22"/>
        </w:rPr>
        <w:t xml:space="preserve"> Every column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null for that row, and it counts in </w:t>
      </w:r>
      <w:r>
        <w:rPr>
          <w:rFonts w:ascii="Consolas" w:hAnsi="Consolas" w:eastAsia="Consolas"/>
          <w:sz w:val="18"/>
        </w:rPr>
        <w:t>NormalizeStats::rows_malformed</w:t>
      </w:r>
      <w:r>
        <w:rPr>
          <w:rFonts w:ascii="Times New Roman" w:hAnsi="Times New Roman" w:eastAsia="Batang"/>
          <w:sz w:val="22"/>
        </w:rPr>
        <w:t>. This is the loudest signal: the input was not JSON in the shape this function requires at all.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path is absent, or its value is JSON `null`.</w:t>
      </w:r>
      <w:r>
        <w:rPr>
          <w:rFonts w:ascii="Times New Roman" w:hAnsi="Times New Roman" w:eastAsia="Batang"/>
          <w:sz w:val="22"/>
        </w:rPr>
        <w:t xml:space="preserve"> An ordinary, expected null.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counted anywhere: a caller passing a schema wider than what every record actually populates is normal, not a data-quality problem.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path is present with a value of the wrong JSON type</w:t>
      </w:r>
      <w:r>
        <w:rPr>
          <w:rFonts w:ascii="Times New Roman" w:hAnsi="Times New Roman" w:eastAsia="Batang"/>
          <w:sz w:val="22"/>
        </w:rPr>
        <w:t xml:space="preserve"> (a string where the column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is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an object or array as a leaf value, since neither is representable by any of the four target types). Written as null, and counted in </w:t>
      </w:r>
      <w:r>
        <w:rPr>
          <w:rFonts w:ascii="Consolas" w:hAnsi="Consolas" w:eastAsia="Consolas"/>
          <w:sz w:val="18"/>
        </w:rPr>
        <w:t>NormalizeStats:: type_mismatches</w:t>
      </w:r>
      <w:r>
        <w:rPr>
          <w:rFonts w:ascii="Times New Roman" w:hAnsi="Times New Roman" w:eastAsia="Batang"/>
          <w:sz w:val="22"/>
        </w:rPr>
        <w:t xml:space="preserve"> per column. This is the middle case: the input's actual shape disagreed with what the caller declared, worth surfacing but not worth failing the whole row over.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Why only four target types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Boolean</w:t>
      </w:r>
      <w:r>
        <w:rPr>
          <w:rFonts w:ascii="Times New Roman" w:hAnsi="Times New Roman" w:eastAsia="Batang"/>
          <w:sz w:val="22"/>
        </w:rPr>
        <w:t xml:space="preserve"> cover every JSON scalar type one-to-one. Nested objects and arrays as a </w:t>
      </w:r>
      <w:r>
        <w:rPr>
          <w:rFonts w:ascii="Times New Roman" w:hAnsi="Times New Roman" w:eastAsia="Batang"/>
          <w:i/>
          <w:sz w:val="22"/>
        </w:rPr>
        <w:t>leaf</w:t>
      </w:r>
      <w:r>
        <w:rPr>
          <w:rFonts w:ascii="Times New Roman" w:hAnsi="Times New Roman" w:eastAsia="Batang"/>
          <w:sz w:val="22"/>
        </w:rPr>
        <w:t xml:space="preserve"> value are deliberately unsupported (they fall into the type-mismatch case in Section 2) rather than serialized back to a JSON string or given a </w:t>
      </w:r>
      <w:r>
        <w:rPr>
          <w:rFonts w:ascii="Consolas" w:hAnsi="Consolas" w:eastAsia="Consolas"/>
          <w:sz w:val="18"/>
        </w:rPr>
        <w:t>List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Struct</w:t>
      </w:r>
      <w:r>
        <w:rPr>
          <w:rFonts w:ascii="Times New Roman" w:hAnsi="Times New Roman" w:eastAsia="Batang"/>
          <w:sz w:val="22"/>
        </w:rPr>
        <w:t xml:space="preserve"> Arrow representation: either of those is a real feature with its own design questions (recursive flattening depth, array-of-object handling) that has not been asked for yet. One level of </w:t>
      </w:r>
      <w:r>
        <w:rPr>
          <w:rFonts w:ascii="Times New Roman" w:hAnsi="Times New Roman" w:eastAsia="Batang"/>
          <w:i/>
          <w:sz w:val="22"/>
        </w:rPr>
        <w:t>object</w:t>
      </w:r>
      <w:r>
        <w:rPr>
          <w:rFonts w:ascii="Times New Roman" w:hAnsi="Times New Roman" w:eastAsia="Batang"/>
          <w:sz w:val="22"/>
        </w:rPr>
        <w:t xml:space="preserve"> nesting is supported today only because a dotted field path costs nothing extra to implement once path-walking exists at 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Regex Cleanup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Two ways to get rules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apply_rules(input, rules)</w:t>
      </w:r>
      <w:r>
        <w:rPr>
          <w:rFonts w:ascii="Times New Roman" w:hAnsi="Times New Roman" w:eastAsia="Batang"/>
          <w:sz w:val="22"/>
        </w:rPr>
        <w:t xml:space="preserve"> takes a caller-supplied list of </w:t>
      </w:r>
      <w:r>
        <w:rPr>
          <w:rFonts w:ascii="Consolas" w:hAnsi="Consolas" w:eastAsia="Consolas"/>
          <w:sz w:val="18"/>
        </w:rPr>
        <w:t>CleanRule</w:t>
      </w:r>
      <w:r>
        <w:rPr>
          <w:rFonts w:ascii="Times New Roman" w:hAnsi="Times New Roman" w:eastAsia="Batang"/>
          <w:sz w:val="22"/>
        </w:rPr>
        <w:t xml:space="preserve"> (a compiled regex plus its replacement text) and applies them in order to every non-null value. </w:t>
      </w:r>
      <w:r>
        <w:rPr>
          <w:rFonts w:ascii="Consolas" w:hAnsi="Consolas" w:eastAsia="Consolas"/>
          <w:sz w:val="18"/>
        </w:rPr>
        <w:t>clean_with_preset(input, name, version)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preset(name, version)</w:t>
      </w:r>
      <w:r>
        <w:rPr>
          <w:rFonts w:ascii="Times New Roman" w:hAnsi="Times New Roman" w:eastAsia="Batang"/>
          <w:sz w:val="22"/>
        </w:rPr>
        <w:t xml:space="preserve"> (look up one of witchhat's own named rule sets) followed by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6-1&gt; Built-in cleanup presets (</w:t>
      </w:r>
      <w:r>
        <w:rPr>
          <w:rFonts w:ascii="Consolas" w:hAnsi="Consolas" w:eastAsia="Consolas"/>
          <w:sz w:val="18"/>
        </w:rPr>
        <w:t>v1</w:t>
      </w:r>
      <w:r>
        <w:rPr>
          <w:rFonts w:ascii="Times New Roman" w:hAnsi="Times New Roman" w:eastAsia="Batang"/>
          <w:sz w:val="22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only presets are versioned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 gates </w:t>
      </w:r>
      <w:r>
        <w:rPr>
          <w:rFonts w:ascii="Consolas" w:hAnsi="Consolas" w:eastAsia="Consolas"/>
          <w:sz w:val="18"/>
        </w:rPr>
        <w:t>preset</w:t>
      </w:r>
      <w:r>
        <w:rPr>
          <w:rFonts w:ascii="Times New Roman" w:hAnsi="Times New Roman" w:eastAsia="Batang"/>
          <w:sz w:val="22"/>
        </w:rPr>
        <w:t xml:space="preserve">'s name-to-rules table, not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 xml:space="preserve"> itself. A caller's own regex, passed directly to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 xml:space="preserve">, is the caller's own algorithm: witchhat did not write it and has no more business versioning it than it does versioning a caller's SQL. Only witchhat's </w:t>
      </w:r>
      <w:r>
        <w:rPr>
          <w:rFonts w:ascii="Times New Roman" w:hAnsi="Times New Roman" w:eastAsia="Batang"/>
          <w:i/>
          <w:sz w:val="22"/>
        </w:rPr>
        <w:t>own</w:t>
      </w:r>
      <w:r>
        <w:rPr>
          <w:rFonts w:ascii="Times New Roman" w:hAnsi="Times New Roman" w:eastAsia="Batang"/>
          <w:sz w:val="22"/>
        </w:rPr>
        <w:t xml:space="preserve"> named behaviour (a preset shipped under a fixed name) needs the same "a version, once shipped, never changes what it produces" discipline as 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>, because only that behaviour is something a caller might depend on by name across a witchhat upgrade.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VII. Output Equivalence Testing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check_equivalence(actual, expected, options)</w:t>
      </w:r>
      <w:r>
        <w:rPr>
          <w:rFonts w:ascii="Times New Roman" w:hAnsi="Times New Roman" w:eastAsia="Batang"/>
          <w:sz w:val="22"/>
        </w:rPr>
        <w:t xml:space="preserve"> answers "are these two batches the same data", combining Chapter IV's schema comparison with Chapter III's table fingerprint rather than adding a third comparison algorithm: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actual.schema, expected.schema -&gt; validate_schema -&gt; schema_diff</w:t>
        <w:br/>
        <w:t>actual.rows,   expected.rows   -&gt; hash_batch, table_fingerprint (shared column order) -&gt; two u64s</w:t>
        <w:br/>
        <w:t xml:space="preserve">                                                                          |</w:t>
        <w:br/>
        <w:t xml:space="preserve">                                                            EquivalenceReport.is_equivalent()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7-1] Shape of an equivalence check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Column order versus column type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 two table fingerprints are computed over the same column list and order (</w:t>
      </w:r>
      <w:r>
        <w:rPr>
          <w:rFonts w:ascii="Consolas" w:hAnsi="Consolas" w:eastAsia="Consolas"/>
          <w:sz w:val="18"/>
        </w:rPr>
        <w:t>EquivalenceOptions.columns</w:t>
      </w:r>
      <w:r>
        <w:rPr>
          <w:rFonts w:ascii="Times New Roman" w:hAnsi="Times New Roman" w:eastAsia="Batang"/>
          <w:sz w:val="22"/>
        </w:rPr>
        <w:t xml:space="preserve">, defaulting to the columns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have in common, in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's order), so a column merely declared in a different position on each side does not by itself cause a mismatch, even though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is normally order-sensitive (Chapter III, Section 1). A column whose </w:t>
      </w:r>
      <w:r>
        <w:rPr>
          <w:rFonts w:ascii="Times New Roman" w:hAnsi="Times New Roman" w:eastAsia="Batang"/>
          <w:i/>
          <w:sz w:val="22"/>
        </w:rPr>
        <w:t>type</w:t>
      </w:r>
      <w:r>
        <w:rPr>
          <w:rFonts w:ascii="Times New Roman" w:hAnsi="Times New Roman" w:eastAsia="Batang"/>
          <w:sz w:val="22"/>
        </w:rPr>
        <w:t xml:space="preserve"> differs still causes a mismatch, because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hashes a value's type tag along with its bytes (Chapter III, Section 3): an 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are not the same fingerprint, even though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might consider that difference an accepted widening. This is deliberate: equivalence testing asks "is the output the same", not "is the output an acceptable evolution of the reference", which is what schema validation asks.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What "equivalent" does not mean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EquivalenceReport::is_equivalent()</w:t>
      </w:r>
      <w:r>
        <w:rPr>
          <w:rFonts w:ascii="Times New Roman" w:hAnsi="Times New Roman" w:eastAsia="Batang"/>
          <w:sz w:val="22"/>
        </w:rPr>
        <w:t xml:space="preserve"> is deliberately stricter than </w:t>
      </w:r>
      <w:r>
        <w:rPr>
          <w:rFonts w:ascii="Consolas" w:hAnsi="Consolas" w:eastAsia="Consolas"/>
          <w:sz w:val="18"/>
        </w:rPr>
        <w:t>SchemaDiff::is_breaking()</w:t>
      </w:r>
      <w:r>
        <w:rPr>
          <w:rFonts w:ascii="Times New Roman" w:hAnsi="Times New Roman" w:eastAsia="Batang"/>
          <w:sz w:val="22"/>
        </w:rPr>
        <w:t xml:space="preserve">: it requires the schema diff to be entirely empty, not just non-breaking.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batch with one extra column passes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's breaking check (additive change) but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, because the question being asked is "are these the same", not "would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be a safe evolution of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>".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VIII. Deduplication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drop_duplicates(batch, columns, version)</w:t>
      </w:r>
      <w:r>
        <w:rPr>
          <w:rFonts w:ascii="Times New Roman" w:hAnsi="Times New Roman" w:eastAsia="Batang"/>
          <w:sz w:val="22"/>
        </w:rPr>
        <w:t xml:space="preserve"> is a native transformation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 xml:space="preserve">. It reuses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as the dedup key: one pass computes each row's composite hash over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a </w:t>
      </w:r>
      <w:r>
        <w:rPr>
          <w:rFonts w:ascii="Consolas" w:hAnsi="Consolas" w:eastAsia="Consolas"/>
          <w:sz w:val="18"/>
        </w:rPr>
        <w:t>HashSet&lt;u64&gt;</w:t>
      </w:r>
      <w:r>
        <w:rPr>
          <w:rFonts w:ascii="Times New Roman" w:hAnsi="Times New Roman" w:eastAsia="Batang"/>
          <w:sz w:val="22"/>
        </w:rPr>
        <w:t xml:space="preserve"> tracks which hashes have been seen, and 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 keeps only the rows whose hash was new. Which row survives within a duplicate group is always the first one by input order, unlike Spark's own </w:t>
      </w:r>
      <w:r>
        <w:rPr>
          <w:rFonts w:ascii="Consolas" w:hAnsi="Consolas" w:eastAsia="Consolas"/>
          <w:sz w:val="18"/>
        </w:rPr>
        <w:t>dropDuplicates</w:t>
      </w:r>
      <w:r>
        <w:rPr>
          <w:rFonts w:ascii="Times New Roman" w:hAnsi="Times New Roman" w:eastAsia="Batang"/>
          <w:sz w:val="22"/>
        </w:rPr>
        <w:t>, whose choice there is unspecified.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filter and project are not wrapped here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Filter (row selection by a boolean predicate) and project (column selection/reorder) already exist as Arrow compute kernels (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RecordBatch::project</w:t>
      </w:r>
      <w:r>
        <w:rPr>
          <w:rFonts w:ascii="Times New Roman" w:hAnsi="Times New Roman" w:eastAsia="Batang"/>
          <w:sz w:val="22"/>
        </w:rPr>
        <w:t xml:space="preserve">) with no witchhat-specific behaviour to add: wrapping them would be a naming exercise, not a transformation. </w:t>
      </w:r>
      <w:r>
        <w:rPr>
          <w:rFonts w:ascii="Consolas" w:hAnsi="Consolas" w:eastAsia="Consolas"/>
          <w:sz w:val="18"/>
        </w:rPr>
        <w:t>dedup.rs</w:t>
      </w:r>
      <w:r>
        <w:rPr>
          <w:rFonts w:ascii="Times New Roman" w:hAnsi="Times New Roman" w:eastAsia="Batang"/>
          <w:sz w:val="22"/>
        </w:rPr>
        <w:t xml:space="preserve"> exists because deduplication </w:t>
      </w:r>
      <w:r>
        <w:rPr>
          <w:rFonts w:ascii="Times New Roman" w:hAnsi="Times New Roman" w:eastAsia="Batang"/>
          <w:i/>
          <w:sz w:val="22"/>
        </w:rPr>
        <w:t>does</w:t>
      </w:r>
      <w:r>
        <w:rPr>
          <w:rFonts w:ascii="Times New Roman" w:hAnsi="Times New Roman" w:eastAsia="Batang"/>
          <w:sz w:val="22"/>
        </w:rPr>
        <w:t xml:space="preserve"> need witchhat's own hashing, and is the natural first module for anything that does;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(Chapters IX-X) followed for the same reason.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IX. Join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join(left, right, left_keys, right_keys, how)</w:t>
      </w:r>
      <w:r>
        <w:rPr>
          <w:rFonts w:ascii="Times New Roman" w:hAnsi="Times New Roman" w:eastAsia="Batang"/>
          <w:sz w:val="22"/>
        </w:rPr>
        <w:t xml:space="preserve"> matches rows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on key columns, in one of four modes: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left.keys  ---+                right_index = HashMap&lt;row bytes, right row indices&gt;</w:t>
        <w:br/>
        <w:t xml:space="preserve">              +--&gt; row-format  for each left row: probe right_index</w:t>
        <w:br/>
        <w:t>right.keys ---+  (arrow_row)   -&gt; matched pairs, plus outer-join leftovers depending on `how`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9-1] Shape of a join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Inner</w:t>
      </w:r>
      <w:r>
        <w:rPr>
          <w:rFonts w:ascii="Times New Roman" w:hAnsi="Times New Roman" w:eastAsia="Batang"/>
          <w:sz w:val="22"/>
        </w:rPr>
        <w:t xml:space="preserve"> keeps only matched rows;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additionally keep every unmatched row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respectively, with the other side's columns null; 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 xml:space="preserve"> keeps every unmatched row of both.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Why not built on </w:t>
      </w:r>
      <w:r>
        <w:rPr>
          <w:rFonts w:ascii="Consolas" w:hAnsi="Consolas" w:eastAsia="Consolas"/>
          <w:b/>
          <w:color w:val="000000"/>
          <w:sz w:val="24"/>
        </w:rPr>
        <w:t>hash_batch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join result is only as correct as its key comparison.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 xml:space="preserve"> (Chapter VII) treats a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collision as an acceptable, documented risk because it is evidence toward a yes/no answer a human or CI job interprets; a join that silently merged two distinct keys into one match because their fingerprints happened to collide would produce </w:t>
      </w:r>
      <w:r>
        <w:rPr>
          <w:rFonts w:ascii="Times New Roman" w:hAnsi="Times New Roman" w:eastAsia="Batang"/>
          <w:i/>
          <w:sz w:val="22"/>
        </w:rPr>
        <w:t>wrong data</w:t>
      </w:r>
      <w:r>
        <w:rPr>
          <w:rFonts w:ascii="Times New Roman" w:hAnsi="Times New Roman" w:eastAsia="Batang"/>
          <w:sz w:val="22"/>
        </w:rPr>
        <w:t xml:space="preserve">, not weaker evidence. </w:t>
      </w:r>
      <w:r>
        <w:rPr>
          <w:rFonts w:ascii="Consolas" w:hAnsi="Consolas" w:eastAsia="Consolas"/>
          <w:sz w:val="18"/>
        </w:rPr>
        <w:t>join.rs</w:t>
      </w:r>
      <w:r>
        <w:rPr>
          <w:rFonts w:ascii="Times New Roman" w:hAnsi="Times New Roman" w:eastAsia="Batang"/>
          <w:sz w:val="22"/>
        </w:rPr>
        <w:t xml:space="preserve"> therefore uses </w:t>
      </w:r>
      <w:r>
        <w:rPr>
          <w:rFonts w:ascii="Times New Roman" w:hAnsi="Times New Roman" w:eastAsia="Batang"/>
          <w:color w:val="003399"/>
          <w:sz w:val="22"/>
        </w:rPr>
        <w:t>`arrow_row::RowConverter`</w:t>
      </w:r>
      <w:r>
        <w:rPr>
          <w:rFonts w:ascii="Times New Roman" w:hAnsi="Times New Roman" w:eastAsia="Batang"/>
          <w:sz w:val="18"/>
        </w:rPr>
        <w:t xml:space="preserve"> (https://docs.rs/arrow-row)</w:t>
      </w:r>
      <w:r>
        <w:rPr>
          <w:rFonts w:ascii="Times New Roman" w:hAnsi="Times New Roman" w:eastAsia="Batang"/>
          <w:sz w:val="22"/>
        </w:rPr>
        <w:t xml:space="preserve"> instead: it converts each side's key columns into a canonical, memcmp-comparable byte row, so two rows compare equal only when they truly are. This has a useful side effect: </w:t>
      </w:r>
      <w:r>
        <w:rPr>
          <w:rFonts w:ascii="Consolas" w:hAnsi="Consolas" w:eastAsia="Consolas"/>
          <w:sz w:val="18"/>
        </w:rPr>
        <w:t>RowConverter</w:t>
      </w:r>
      <w:r>
        <w:rPr>
          <w:rFonts w:ascii="Times New Roman" w:hAnsi="Times New Roman" w:eastAsia="Batang"/>
          <w:sz w:val="22"/>
        </w:rPr>
        <w:t xml:space="preserve"> supports a broader range of Arrow types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's own hand-rolled dispatch (Table 3-2), so a join key can be a type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does not yet cover.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Column-name collisions and nullability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output schema is every field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followed by every field of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; a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field whose name collides with a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field is suffixed </w:t>
      </w:r>
      <w:r>
        <w:rPr>
          <w:rFonts w:ascii="Consolas" w:hAnsi="Consolas" w:eastAsia="Consolas"/>
          <w:sz w:val="18"/>
        </w:rPr>
        <w:t>_right</w:t>
      </w:r>
      <w:r>
        <w:rPr>
          <w:rFonts w:ascii="Times New Roman" w:hAnsi="Times New Roman" w:eastAsia="Batang"/>
          <w:sz w:val="22"/>
        </w:rPr>
        <w:t xml:space="preserve"> (matching a common convention, e.g. </w:t>
      </w:r>
      <w:r>
        <w:rPr>
          <w:rFonts w:ascii="Consolas" w:hAnsi="Consolas" w:eastAsia="Consolas"/>
          <w:sz w:val="18"/>
        </w:rPr>
        <w:t>pandas.merge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suffixes</w:t>
      </w:r>
      <w:r>
        <w:rPr>
          <w:rFonts w:ascii="Times New Roman" w:hAnsi="Times New Roman" w:eastAsia="Batang"/>
          <w:sz w:val="22"/>
        </w:rPr>
        <w:t xml:space="preserve">), rather than raising or silently keeping a schema with a duplicate field name (which would confuse any downstream name-based column lookup). Every output field is nullable regardless of the input schemas' own nullability: an outer join can always introduce a null on either side, and a schema should never promise "never null" for a column that can, in fact, be null under a different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than the one just used.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Row order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row in its original order, each repeated once per match (or once with null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columns, under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 xml:space="preserve">, if unmatched), followed by every unmatched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row in its original order, under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>. Chosen for predictability (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's order is always the primary order) rather than to match Spark's own join output order, which is not itself guaranteed.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X. Aggregate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aggregate(batch, group_by, aggregations)</w:t>
      </w:r>
      <w:r>
        <w:rPr>
          <w:rFonts w:ascii="Times New Roman" w:hAnsi="Times New Roman" w:eastAsia="Batang"/>
          <w:sz w:val="22"/>
        </w:rPr>
        <w:t xml:space="preserve"> groups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's rows by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reduces each group's columns with the given </w:t>
      </w:r>
      <w:r>
        <w:rPr>
          <w:rFonts w:ascii="Consolas" w:hAnsi="Consolas" w:eastAsia="Consolas"/>
          <w:sz w:val="18"/>
        </w:rPr>
        <w:t>aggregations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10-1&gt; Aggregate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Input types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Output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Null handling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Count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any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Counts non-null values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Sum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 (Table 3-2's numeric subset)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Mean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Min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Max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group keys use the same row format as join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group boundary is exactly the same kind of correctness question a join's key match is (Chapter IX, Section 2): which rows belong together, not "probably belong together". So </w:t>
      </w:r>
      <w:r>
        <w:rPr>
          <w:rFonts w:ascii="Consolas" w:hAnsi="Consolas" w:eastAsia="Consolas"/>
          <w:sz w:val="18"/>
        </w:rPr>
        <w:t>aggregate.rs</w:t>
      </w:r>
      <w:r>
        <w:rPr>
          <w:rFonts w:ascii="Times New Roman" w:hAnsi="Times New Roman" w:eastAsia="Batang"/>
          <w:sz w:val="22"/>
        </w:rPr>
        <w:t xml:space="preserve"> groups rows with the same </w:t>
      </w:r>
      <w:r>
        <w:rPr>
          <w:rFonts w:ascii="Consolas" w:hAnsi="Consolas" w:eastAsia="Consolas"/>
          <w:sz w:val="18"/>
        </w:rPr>
        <w:t>arrow_row::RowConverter</w:t>
      </w:r>
      <w:r>
        <w:rPr>
          <w:rFonts w:ascii="Times New Roman" w:hAnsi="Times New Roman" w:eastAsia="Batang"/>
          <w:sz w:val="22"/>
        </w:rPr>
        <w:t xml:space="preserve"> approach </w:t>
      </w:r>
      <w:r>
        <w:rPr>
          <w:rFonts w:ascii="Consolas" w:hAnsi="Consolas" w:eastAsia="Consolas"/>
          <w:sz w:val="18"/>
        </w:rPr>
        <w:t>join.rs</w:t>
      </w:r>
      <w:r>
        <w:rPr>
          <w:rFonts w:ascii="Times New Roman" w:hAnsi="Times New Roman" w:eastAsia="Batang"/>
          <w:sz w:val="22"/>
        </w:rPr>
        <w:t xml:space="preserve"> uses, for the same reason, rather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's fingerprint. Group order in the output is first-seen order (the order each distinct key first appears in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), the same convention 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 xml:space="preserve"> (Chapter VIII) uses for surviving rows.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Min/Max preserve type; Sum/Mean go through </w:t>
      </w:r>
      <w:r>
        <w:rPr>
          <w:rFonts w:ascii="Consolas" w:hAnsi="Consolas" w:eastAsia="Consolas"/>
          <w:b/>
          <w:color w:val="000000"/>
          <w:sz w:val="24"/>
        </w:rPr>
        <w:t>f64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regardless of the input's integer or float type, which is unavoidable for a sum that must not overflow a fixed-width integer type, but does mean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value beyond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's exact-integer range (±2^53) can lose precision in the accumulated result.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avoid this for the </w:t>
      </w:r>
      <w:r>
        <w:rPr>
          <w:rFonts w:ascii="Times New Roman" w:hAnsi="Times New Roman" w:eastAsia="Batang"/>
          <w:i/>
          <w:sz w:val="22"/>
        </w:rPr>
        <w:t>output</w:t>
      </w:r>
      <w:r>
        <w:rPr>
          <w:rFonts w:ascii="Times New Roman" w:hAnsi="Times New Roman" w:eastAsia="Batang"/>
          <w:sz w:val="22"/>
        </w:rPr>
        <w:t xml:space="preserve"> value: rather than converting to compare, then returning the converted value, they use the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conversion only to find which row is the extreme value, then </w:t>
      </w:r>
      <w:r>
        <w:rPr>
          <w:rFonts w:ascii="Consolas" w:hAnsi="Consolas" w:eastAsia="Consolas"/>
          <w:sz w:val="18"/>
        </w:rPr>
        <w:t>take</w:t>
      </w:r>
      <w:r>
        <w:rPr>
          <w:rFonts w:ascii="Times New Roman" w:hAnsi="Times New Roman" w:eastAsia="Batang"/>
          <w:sz w:val="22"/>
        </w:rPr>
        <w:t xml:space="preserve"> that row's original, untouched value from the source array — so a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 xml:space="preserve"> of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column stays an exact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and only the comparison step (not the returned value) has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>'s precision limit.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The empty-</w:t>
      </w:r>
      <w:r>
        <w:rPr>
          <w:rFonts w:ascii="Consolas" w:hAnsi="Consolas" w:eastAsia="Consolas"/>
          <w:b/>
          <w:color w:val="000000"/>
          <w:sz w:val="24"/>
        </w:rPr>
        <w:t>group_by</w:t>
      </w:r>
      <w:r>
        <w:rPr>
          <w:rFonts w:ascii="Times New Roman" w:hAnsi="Times New Roman" w:eastAsia="Batang"/>
          <w:b/>
          <w:color w:val="000000"/>
          <w:sz w:val="24"/>
        </w:rPr>
        <w:t xml:space="preserve"> case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may be empty, treating the whole batch as one group: a whole-table aggregate, matching </w:t>
      </w:r>
      <w:r>
        <w:rPr>
          <w:rFonts w:ascii="Consolas" w:hAnsi="Consolas" w:eastAsia="Consolas"/>
          <w:sz w:val="18"/>
        </w:rPr>
        <w:t>df.agg(...)</w:t>
      </w:r>
      <w:r>
        <w:rPr>
          <w:rFonts w:ascii="Times New Roman" w:hAnsi="Times New Roman" w:eastAsia="Batang"/>
          <w:sz w:val="22"/>
        </w:rPr>
        <w:t xml:space="preserve"> called with no preceding </w:t>
      </w:r>
      <w:r>
        <w:rPr>
          <w:rFonts w:ascii="Consolas" w:hAnsi="Consolas" w:eastAsia="Consolas"/>
          <w:sz w:val="18"/>
        </w:rPr>
        <w:t>groupBy</w:t>
      </w:r>
      <w:r>
        <w:rPr>
          <w:rFonts w:ascii="Times New Roman" w:hAnsi="Times New Roman" w:eastAsia="Batang"/>
          <w:sz w:val="22"/>
        </w:rPr>
        <w:t>. An empty input batch in that case still produces exactly one output row (</w:t>
      </w:r>
      <w:r>
        <w:rPr>
          <w:rFonts w:ascii="Consolas" w:hAnsi="Consolas" w:eastAsia="Consolas"/>
          <w:sz w:val="18"/>
        </w:rPr>
        <w:t>Count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0</w:t>
      </w:r>
      <w:r>
        <w:rPr>
          <w:rFonts w:ascii="Times New Roman" w:hAnsi="Times New Roman" w:eastAsia="Batang"/>
          <w:sz w:val="22"/>
        </w:rPr>
        <w:t xml:space="preserve">, every other aggregation </w:t>
      </w:r>
      <w:r>
        <w:rPr>
          <w:rFonts w:ascii="Consolas" w:hAnsi="Consolas" w:eastAsia="Consolas"/>
          <w:sz w:val="18"/>
        </w:rPr>
        <w:t>None</w:t>
      </w:r>
      <w:r>
        <w:rPr>
          <w:rFonts w:ascii="Times New Roman" w:hAnsi="Times New Roman" w:eastAsia="Batang"/>
          <w:sz w:val="22"/>
        </w:rPr>
        <w:t xml:space="preserve">), matching the conventional definition of an aggregate over zero rows, rather than zero output rows, which would make a caller's </w:t>
      </w:r>
      <w:r>
        <w:rPr>
          <w:rFonts w:ascii="Consolas" w:hAnsi="Consolas" w:eastAsia="Consolas"/>
          <w:sz w:val="18"/>
        </w:rPr>
        <w:t>for row in result</w:t>
      </w:r>
      <w:r>
        <w:rPr>
          <w:rFonts w:ascii="Times New Roman" w:hAnsi="Times New Roman" w:eastAsia="Batang"/>
          <w:sz w:val="22"/>
        </w:rPr>
        <w:t xml:space="preserve"> silently do nothing instead of seeing the "no data" answer.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XI. CPU Feature Detection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does today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witchhat_core::cpu::features()</w:t>
      </w:r>
      <w:r>
        <w:rPr>
          <w:rFonts w:ascii="Times New Roman" w:hAnsi="Times New Roman" w:eastAsia="Batang"/>
          <w:sz w:val="22"/>
        </w:rPr>
        <w:t xml:space="preserve"> detects AVX2, AVX-512F and SSE4.2 on x86_64 and NEON on aarch64, once per process, cached in a </w:t>
      </w:r>
      <w:r>
        <w:rPr>
          <w:rFonts w:ascii="Consolas" w:hAnsi="Consolas" w:eastAsia="Consolas"/>
          <w:sz w:val="18"/>
        </w:rPr>
        <w:t>OnceLock</w:t>
      </w:r>
      <w:r>
        <w:rPr>
          <w:rFonts w:ascii="Times New Roman" w:hAnsi="Times New Roman" w:eastAsia="Batang"/>
          <w:sz w:val="22"/>
        </w:rPr>
        <w:t xml:space="preserve">. Nothing in the current kernels branches on it: </w:t>
      </w: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>'s XXH3 (Chapter III) already does its own internal SIMD dispatch with output defined to be identical regardless of code path; the regex engine (Chapter VI) does its own dispatch the same way; JSON parsing (Chapter V), schema validation (Chapter IV), deduplication (Chapter VIII), join (Chapter IX) and aggregate (Chapter X) do no per-byte SIMD-shaped work at all.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The constraint it exists to enforce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module exists ahead of a concrete user because a future kernel could be a SIMD dispatch candidate, and the constraint has to be established before one is written, not retrofitted: </w:t>
      </w:r>
      <w:r>
        <w:rPr>
          <w:rFonts w:ascii="Times New Roman" w:hAnsi="Times New Roman" w:eastAsia="Batang"/>
          <w:b/>
          <w:sz w:val="22"/>
        </w:rPr>
        <w:t>a SIMD-accelerated path may only change speed, never output.</w:t>
      </w:r>
      <w:r>
        <w:rPr>
          <w:rFonts w:ascii="Times New Roman" w:hAnsi="Times New Roman" w:eastAsia="Batang"/>
          <w:sz w:val="22"/>
        </w:rPr>
        <w:t xml:space="preserve"> A fingerprint or transformation computed on a Databricks driver with AVX-512 must equal one computed on a laptop with only SSE4.2, or results stop being comparable across a mixed-hardware fleet, which defeats the purpose of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check_ equivalence</w:t>
      </w:r>
      <w:r>
        <w:rPr>
          <w:rFonts w:ascii="Times New Roman" w:hAnsi="Times New Roman" w:eastAsia="Batang"/>
          <w:sz w:val="22"/>
        </w:rPr>
        <w:t>-style checking. Any future kernel that adds a SIMD fast path is expected to carry a differential test asserting exactly that.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XII. Concurrency Model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in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is synchronous, single-threaded, and allocation-bounded by its input size; none spawn threads, perform I/O, or hold a lock across a call. The PyO3 boundary (Chapter XV) does not release the GIL during a call, because every current operation is CPU-bound and short relative to the cost of a Python call itself. This is expected to change once a kernel is expensive enough that releasing the GIL for the duration becomes worth its own overhead; Chapter XVIII tracks it as an open item.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XIII. Failure Model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Result&lt;T, witchhat_core::Error&gt;</w:t>
      </w:r>
      <w:r>
        <w:rPr>
          <w:rFonts w:ascii="Times New Roman" w:hAnsi="Times New Roman" w:eastAsia="Batang"/>
          <w:sz w:val="22"/>
        </w:rPr>
        <w:t xml:space="preserve"> from every fallible function; nothing panics on a caller-supplied input.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has five variants: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 (used directly by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's key-type check, Chapter IX) and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 (a column cannot be processed),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 (wraps an </w:t>
      </w:r>
      <w:r>
        <w:rPr>
          <w:rFonts w:ascii="Consolas" w:hAnsi="Consolas" w:eastAsia="Consolas"/>
          <w:sz w:val="18"/>
        </w:rPr>
        <w:t>arrow_select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RecordBatch::try_new</w:t>
      </w:r>
      <w:r>
        <w:rPr>
          <w:rFonts w:ascii="Times New Roman" w:hAnsi="Times New Roman" w:eastAsia="Batang"/>
          <w:sz w:val="22"/>
        </w:rPr>
        <w:t xml:space="preserve"> failure from 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output construction), and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 (an invalid argument: an unrecognised cleanup preset name, a regex that does not compile, or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's key-list length/emptiness check).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's row-level problems are deliberately </w:t>
      </w:r>
      <w:r>
        <w:rPr>
          <w:rFonts w:ascii="Times New Roman" w:hAnsi="Times New Roman" w:eastAsia="Batang"/>
          <w:i/>
          <w:sz w:val="22"/>
        </w:rPr>
        <w:t>not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: an unequal schema is a normal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, and a malformed JSON row is a normal, counted null, not a failure of the whole batch (Chapter V, Section 2) — only a structural problem that makes the </w:t>
      </w:r>
      <w:r>
        <w:rPr>
          <w:rFonts w:ascii="Times New Roman" w:hAnsi="Times New Roman" w:eastAsia="Batang"/>
          <w:i/>
          <w:sz w:val="22"/>
        </w:rPr>
        <w:t>call itself</w:t>
      </w:r>
      <w:r>
        <w:rPr>
          <w:rFonts w:ascii="Times New Roman" w:hAnsi="Times New Roman" w:eastAsia="Batang"/>
          <w:sz w:val="22"/>
        </w:rPr>
        <w:t xml:space="preserve"> impossible (an unsupported target type, an unknown column, mismatched join key types) is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At the Python boundary, every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variant becomes a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except an unrecognised version/preset/ join-type/aggregate-function name, which is raised as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>, matching Python's own convention.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XIV. Security Model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witchhat's current kernels take no network input, spawn no subprocess, and read no filesystem path: the only input is Arrow data (or, for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, JSON text already inside an Arrow column) already resident in the caller's process.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#![forbid(unsafe_code)]</w:t>
      </w:r>
      <w:r>
        <w:rPr>
          <w:rFonts w:ascii="Times New Roman" w:hAnsi="Times New Roman" w:eastAsia="Batang"/>
          <w:sz w:val="22"/>
        </w:rPr>
        <w:t xml:space="preserve">; the only </w:t>
      </w:r>
      <w:r>
        <w:rPr>
          <w:rFonts w:ascii="Consolas" w:hAnsi="Consolas" w:eastAsia="Consolas"/>
          <w:sz w:val="18"/>
        </w:rPr>
        <w:t>unsafe</w:t>
      </w:r>
      <w:r>
        <w:rPr>
          <w:rFonts w:ascii="Times New Roman" w:hAnsi="Times New Roman" w:eastAsia="Batang"/>
          <w:sz w:val="22"/>
        </w:rPr>
        <w:t xml:space="preserve"> in the dependency tree is inside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 themselves, none of which this crate's own code touches directly.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parses caller-supplied JSON text with </w:t>
      </w: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 xml:space="preserve">, a widely used, actively maintained parser; a malformed or adversarial JSON string degrades to a counted null (Chapter V, Section 2) rather than being retried or logged verbatim, so a hostile row cannot escalate into anything beyond "this row is null". There is no credential handling and no logging of row data, so the security requirements that dominate a system reading untrusted </w:t>
      </w:r>
      <w:r>
        <w:rPr>
          <w:rFonts w:ascii="Times New Roman" w:hAnsi="Times New Roman" w:eastAsia="Batang"/>
          <w:i/>
          <w:sz w:val="22"/>
        </w:rPr>
        <w:t>external</w:t>
      </w:r>
      <w:r>
        <w:rPr>
          <w:rFonts w:ascii="Times New Roman" w:hAnsi="Times New Roman" w:eastAsia="Batang"/>
          <w:sz w:val="22"/>
        </w:rPr>
        <w:t xml:space="preserve"> input (network, files; see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CLAUDE.md</w:t>
      </w:r>
      <w:r>
        <w:rPr>
          <w:rFonts w:ascii="Times New Roman" w:hAnsi="Times New Roman" w:eastAsia="Batang"/>
          <w:sz w:val="22"/>
        </w:rPr>
        <w:t xml:space="preserve"> for what that looks like) mostly do not yet apply here, and should be revisited once a kernel reads from an external path or network source.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XV. Python Binding Boundary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The pyo3 version pin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pins </w:t>
      </w:r>
      <w:r>
        <w:rPr>
          <w:rFonts w:ascii="Consolas" w:hAnsi="Consolas" w:eastAsia="Consolas"/>
          <w:sz w:val="18"/>
        </w:rPr>
        <w:t>pyo3 = "=0.25.1"</w:t>
      </w:r>
      <w:r>
        <w:rPr>
          <w:rFonts w:ascii="Times New Roman" w:hAnsi="Times New Roman" w:eastAsia="Batang"/>
          <w:sz w:val="22"/>
        </w:rPr>
        <w:t xml:space="preserve"> exactly, not a newer release.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Cargo feature, used for zero-copy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 conversion, links </w:t>
      </w:r>
      <w:r>
        <w:rPr>
          <w:rFonts w:ascii="Consolas" w:hAnsi="Consolas" w:eastAsia="Consolas"/>
          <w:sz w:val="18"/>
        </w:rPr>
        <w:t>pyo3-ffi</w:t>
      </w:r>
      <w:r>
        <w:rPr>
          <w:rFonts w:ascii="Times New Roman" w:hAnsi="Times New Roman" w:eastAsia="Batang"/>
          <w:sz w:val="22"/>
        </w:rPr>
        <w:t xml:space="preserve"> as a native library and Cargo only tolerates one exact version of a </w:t>
      </w:r>
      <w:r>
        <w:rPr>
          <w:rFonts w:ascii="Consolas" w:hAnsi="Consolas" w:eastAsia="Consolas"/>
          <w:sz w:val="18"/>
        </w:rPr>
        <w:t>links</w:t>
      </w:r>
      <w:r>
        <w:rPr>
          <w:rFonts w:ascii="Times New Roman" w:hAnsi="Times New Roman" w:eastAsia="Batang"/>
          <w:sz w:val="22"/>
        </w:rPr>
        <w:t xml:space="preserve">-declaring crate across the whole dependency graph. Bumping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therefore requires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 to have caught up to a newer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first, not just editing the version string.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One consequence, hit while adding schema validation and reused for every kernel since: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's pyarrow bridge implements </w:t>
      </w:r>
      <w:r>
        <w:rPr>
          <w:rFonts w:ascii="Consolas" w:hAnsi="Consolas" w:eastAsia="Consolas"/>
          <w:sz w:val="18"/>
        </w:rPr>
        <w:t>ToPyArrow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FromPyArrow</w:t>
      </w:r>
      <w:r>
        <w:rPr>
          <w:rFonts w:ascii="Times New Roman" w:hAnsi="Times New Roman" w:eastAsia="Batang"/>
          <w:sz w:val="22"/>
        </w:rPr>
        <w:t xml:space="preserve"> for 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Field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Vec&lt;T&gt;</w:t>
      </w:r>
      <w:r>
        <w:rPr>
          <w:rFonts w:ascii="Times New Roman" w:hAnsi="Times New Roman" w:eastAsia="Batang"/>
          <w:sz w:val="22"/>
        </w:rPr>
        <w:t xml:space="preserve"> of those, but not for typed arrays (</w:t>
      </w:r>
      <w:r>
        <w:rPr>
          <w:rFonts w:ascii="Consolas" w:hAnsi="Consolas" w:eastAsia="Consolas"/>
          <w:sz w:val="18"/>
        </w:rPr>
        <w:t>UInt64Array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StringArray</w:t>
      </w:r>
      <w:r>
        <w:rPr>
          <w:rFonts w:ascii="Times New Roman" w:hAnsi="Times New Roman" w:eastAsia="Batang"/>
          <w:sz w:val="22"/>
        </w:rPr>
        <w:t xml:space="preserve">) and not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 on the </w:t>
      </w:r>
      <w:r>
        <w:rPr>
          <w:rFonts w:ascii="Consolas" w:hAnsi="Consolas" w:eastAsia="Consolas"/>
          <w:sz w:val="18"/>
        </w:rPr>
        <w:t>PyArrowType&lt;T&gt;</w:t>
      </w:r>
      <w:r>
        <w:rPr>
          <w:rFonts w:ascii="Times New Roman" w:hAnsi="Times New Roman" w:eastAsia="Batang"/>
          <w:sz w:val="22"/>
        </w:rPr>
        <w:t xml:space="preserve"> wrapper itself. Every kernel taking or returning a typed array converts through 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 at the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boundary (</w:t>
      </w:r>
      <w:r>
        <w:rPr>
          <w:rFonts w:ascii="Consolas" w:hAnsi="Consolas" w:eastAsia="Consolas"/>
          <w:sz w:val="18"/>
        </w:rPr>
        <w:t>u64_array_to_pyarrow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_from_pyarrow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string_array_to_pyarrow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_from_pyarrow</w:t>
      </w:r>
      <w:r>
        <w:rPr>
          <w:rFonts w:ascii="Times New Roman" w:hAnsi="Times New Roman" w:eastAsia="Batang"/>
          <w:sz w:val="22"/>
        </w:rPr>
        <w:t xml:space="preserve"> in </w:t>
      </w:r>
      <w:r>
        <w:rPr>
          <w:rFonts w:ascii="Consolas" w:hAnsi="Consolas" w:eastAsia="Consolas"/>
          <w:sz w:val="18"/>
        </w:rPr>
        <w:t>crates/witchhat-py/src/python.rs</w:t>
      </w:r>
      <w:r>
        <w:rPr>
          <w:rFonts w:ascii="Times New Roman" w:hAnsi="Times New Roman" w:eastAsia="Batang"/>
          <w:sz w:val="22"/>
        </w:rPr>
        <w:t xml:space="preserve">); a </w:t>
      </w:r>
      <w:r>
        <w:rPr>
          <w:rFonts w:ascii="Consolas" w:hAnsi="Consolas" w:eastAsia="Consolas"/>
          <w:sz w:val="18"/>
        </w:rPr>
        <w:t>#[pyclass]</w:t>
      </w:r>
      <w:r>
        <w:rPr>
          <w:rFonts w:ascii="Times New Roman" w:hAnsi="Times New Roman" w:eastAsia="Batang"/>
          <w:sz w:val="22"/>
        </w:rPr>
        <w:t xml:space="preserve"> field holding per-column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 pairs (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) stores plain,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-able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 and builds a fresh </w:t>
      </w:r>
      <w:r>
        <w:rPr>
          <w:rFonts w:ascii="Consolas" w:hAnsi="Consolas" w:eastAsia="Consolas"/>
          <w:sz w:val="18"/>
        </w:rPr>
        <w:t>PyArrowType</w:t>
      </w:r>
      <w:r>
        <w:rPr>
          <w:rFonts w:ascii="Times New Roman" w:hAnsi="Times New Roman" w:eastAsia="Batang"/>
          <w:sz w:val="22"/>
        </w:rPr>
        <w:t xml:space="preserve"> in a hand-written </w:t>
      </w:r>
      <w:r>
        <w:rPr>
          <w:rFonts w:ascii="Consolas" w:hAnsi="Consolas" w:eastAsia="Consolas"/>
          <w:sz w:val="18"/>
        </w:rPr>
        <w:t>#[getter]</w:t>
      </w:r>
      <w:r>
        <w:rPr>
          <w:rFonts w:ascii="Times New Roman" w:hAnsi="Times New Roman" w:eastAsia="Batang"/>
          <w:sz w:val="22"/>
        </w:rPr>
        <w:t xml:space="preserve">, since </w:t>
      </w:r>
      <w:r>
        <w:rPr>
          <w:rFonts w:ascii="Consolas" w:hAnsi="Consolas" w:eastAsia="Consolas"/>
          <w:sz w:val="18"/>
        </w:rPr>
        <w:t>#[pyo3(get)]</w:t>
      </w:r>
      <w:r>
        <w:rPr>
          <w:rFonts w:ascii="Times New Roman" w:hAnsi="Times New Roman" w:eastAsia="Batang"/>
          <w:sz w:val="22"/>
        </w:rPr>
        <w:t xml:space="preserve"> needs to clone the field to return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Two-crate split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has no PyO3 dependency;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is a thin translation layer over it (see </w:t>
      </w:r>
      <w:r>
        <w:rPr>
          <w:rFonts w:ascii="Consolas" w:hAnsi="Consolas" w:eastAsia="Consolas"/>
          <w:sz w:val="18"/>
        </w:rPr>
        <w:t>crates/witchhat-py/src/python.rs</w:t>
      </w:r>
      <w:r>
        <w:rPr>
          <w:rFonts w:ascii="Times New Roman" w:hAnsi="Times New Roman" w:eastAsia="Batang"/>
          <w:sz w:val="22"/>
        </w:rPr>
        <w:t xml:space="preserve">). This differs from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's single-crate layout, and is deliberate here: a future Rust-only consumer (a CLI, a service embedding witchhat directly) links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without pulling in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or its </w:t>
      </w:r>
      <w:r>
        <w:rPr>
          <w:rFonts w:ascii="Consolas" w:hAnsi="Consolas" w:eastAsia="Consolas"/>
          <w:sz w:val="18"/>
        </w:rPr>
        <w:t>abi3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extension-module</w:t>
      </w:r>
      <w:r>
        <w:rPr>
          <w:rFonts w:ascii="Times New Roman" w:hAnsi="Times New Roman" w:eastAsia="Batang"/>
          <w:sz w:val="22"/>
        </w:rPr>
        <w:t xml:space="preserve"> feature machinery at 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XVI. Dependencies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16-1&gt; Direct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Crate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arrow-array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arrow-schema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arrow-data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data model (Chapter II); </w:t>
            </w:r>
            <w:r>
              <w:rPr>
                <w:rFonts w:ascii="Consolas" w:hAnsi="Consolas" w:eastAsia="Consolas"/>
                <w:sz w:val="18"/>
              </w:rPr>
              <w:t>witchhat-core</w:t>
            </w:r>
            <w:r>
              <w:rPr>
                <w:rFonts w:ascii="Times New Roman" w:hAnsi="Times New Roman" w:eastAsia="Batang"/>
                <w:sz w:val="22"/>
              </w:rPr>
              <w:t xml:space="preserve"> depends on the first two only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arrow-select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filter_record_batch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take</w:t>
            </w:r>
            <w:r>
              <w:rPr>
                <w:rFonts w:ascii="Times New Roman" w:hAnsi="Times New Roman" w:eastAsia="Batang"/>
                <w:sz w:val="22"/>
              </w:rPr>
              <w:t xml:space="preserve">, underlying </w:t>
            </w:r>
            <w:r>
              <w:rPr>
                <w:rFonts w:ascii="Consolas" w:hAnsi="Consolas" w:eastAsia="Consolas"/>
                <w:sz w:val="18"/>
              </w:rPr>
              <w:t>dedup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output construction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arrow-row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RowConverter</w:t>
            </w:r>
            <w:r>
              <w:rPr>
                <w:rFonts w:ascii="Times New Roman" w:hAnsi="Times New Roman" w:eastAsia="Batang"/>
                <w:sz w:val="22"/>
              </w:rPr>
              <w:t xml:space="preserve">, underlying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(Chapter IX)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(Chapter X) grouping/matching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</w:t>
            </w:r>
            <w:r>
              <w:rPr>
                <w:rFonts w:ascii="Times New Roman" w:hAnsi="Times New Roman" w:eastAsia="Batang"/>
                <w:sz w:val="22"/>
              </w:rPr>
              <w:t xml:space="preserve"> (feature </w:t>
            </w:r>
            <w:r>
              <w:rPr>
                <w:rFonts w:ascii="Consolas" w:hAnsi="Consolas" w:eastAsia="Consolas"/>
                <w:sz w:val="18"/>
              </w:rPr>
              <w:t>pyarrow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Zero-copy conversion at the PyO3 boundary, </w:t>
            </w:r>
            <w:r>
              <w:rPr>
                <w:rFonts w:ascii="Consolas" w:hAnsi="Consolas" w:eastAsia="Consolas"/>
                <w:sz w:val="18"/>
              </w:rPr>
              <w:t>witchhat-py</w:t>
            </w:r>
            <w:r>
              <w:rPr>
                <w:rFonts w:ascii="Times New Roman" w:hAnsi="Times New Roman" w:eastAsia="Batang"/>
                <w:sz w:val="22"/>
              </w:rPr>
              <w:t xml:space="preserve"> only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xxhash-rust</w:t>
            </w:r>
            <w:r>
              <w:rPr>
                <w:rFonts w:ascii="Times New Roman" w:hAnsi="Times New Roman" w:eastAsia="Batang"/>
                <w:sz w:val="22"/>
              </w:rPr>
              <w:t xml:space="preserve"> (feature </w:t>
            </w:r>
            <w:r>
              <w:rPr>
                <w:rFonts w:ascii="Consolas" w:hAnsi="Consolas" w:eastAsia="Consolas"/>
                <w:sz w:val="18"/>
              </w:rPr>
              <w:t>xxh3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per-value hash function underlying </w:t>
            </w:r>
            <w:r>
              <w:rPr>
                <w:rFonts w:ascii="Consolas" w:hAnsi="Consolas" w:eastAsia="Consolas"/>
                <w:sz w:val="18"/>
              </w:rPr>
              <w:t>hash_batch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serde_json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JSON parsing for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  <w:r>
              <w:rPr>
                <w:rFonts w:ascii="Times New Roman" w:hAnsi="Times New Roman" w:eastAsia="Batang"/>
                <w:sz w:val="22"/>
              </w:rPr>
              <w:t xml:space="preserve"> (Chapter V)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regex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Pattern compilation and replacement for </w:t>
            </w:r>
            <w:r>
              <w:rPr>
                <w:rFonts w:ascii="Consolas" w:hAnsi="Consolas" w:eastAsia="Consolas"/>
                <w:sz w:val="18"/>
              </w:rPr>
              <w:t>clean</w:t>
            </w:r>
            <w:r>
              <w:rPr>
                <w:rFonts w:ascii="Times New Roman" w:hAnsi="Times New Roman" w:eastAsia="Batang"/>
                <w:sz w:val="22"/>
              </w:rPr>
              <w:t xml:space="preserve"> (Chapter VI)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thiserror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</w:t>
            </w:r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 enum (Chapter XIII)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pyo3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Python bindings, </w:t>
            </w:r>
            <w:r>
              <w:rPr>
                <w:rFonts w:ascii="Consolas" w:hAnsi="Consolas" w:eastAsia="Consolas"/>
                <w:sz w:val="18"/>
              </w:rPr>
              <w:t>witchhat-py</w:t>
            </w:r>
            <w:r>
              <w:rPr>
                <w:rFonts w:ascii="Times New Roman" w:hAnsi="Times New Roman" w:eastAsia="Batang"/>
                <w:sz w:val="22"/>
              </w:rPr>
              <w:t xml:space="preserve"> only; see Section XV.1 for the version pin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Pinned 2026-09 (probed via </w:t>
      </w:r>
      <w:r>
        <w:rPr>
          <w:rFonts w:ascii="Consolas" w:hAnsi="Consolas" w:eastAsia="Consolas"/>
          <w:sz w:val="18"/>
        </w:rPr>
        <w:t>cargo build</w:t>
      </w:r>
      <w:r>
        <w:rPr>
          <w:rFonts w:ascii="Times New Roman" w:hAnsi="Times New Roman" w:eastAsia="Batang"/>
          <w:sz w:val="22"/>
        </w:rPr>
        <w:t xml:space="preserve">; crates.io index reachable): </w:t>
      </w:r>
      <w:r>
        <w:rPr>
          <w:rFonts w:ascii="Consolas" w:hAnsi="Consolas" w:eastAsia="Consolas"/>
          <w:sz w:val="18"/>
        </w:rPr>
        <w:t>arrow 56.2.1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xxhash-rust 0.8.18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serde_json 1.0.151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regex 1.13.1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thiserror 2.0.20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pyo3 0.25.1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XVII. Assessment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Zero-copy Arrow interop: no serialization step between Spark/pyarrow/polars and a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witchhat kernel.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Versioning discipline applied consistently across every kernel that defines its own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named behaviour (hashing, JSON normalization, cleanup presets).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both report </w:t>
      </w:r>
      <w:r>
        <w:rPr>
          <w:rFonts w:ascii="Times New Roman" w:hAnsi="Times New Roman" w:eastAsia="Batang"/>
          <w:i/>
          <w:sz w:val="22"/>
        </w:rPr>
        <w:t>how</w:t>
      </w:r>
      <w:r>
        <w:rPr>
          <w:rFonts w:ascii="Times New Roman" w:hAnsi="Times New Roman" w:eastAsia="Batang"/>
          <w:sz w:val="22"/>
        </w:rPr>
        <w:t xml:space="preserve"> two things differ,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just whether they do, so a caller can act on the specific difference.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use the correctness-appropriate tool (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>'s exact byte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comparison) rather than reusing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's probabilistic fingerprint where a collision would silently produce wrong data, not just weaker evidence.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Deduplication reuses the hashing kernel rather than adding a second row-comparison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algorithm; filter and project were left to Arrow's own kernels rather than reinvented.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No </w:t>
      </w:r>
      <w:r>
        <w:rPr>
          <w:rFonts w:ascii="Consolas" w:hAnsi="Consolas" w:eastAsia="Consolas"/>
          <w:sz w:val="18"/>
        </w:rPr>
        <w:t>unsafe</w:t>
      </w:r>
      <w:r>
        <w:rPr>
          <w:rFonts w:ascii="Times New Roman" w:hAnsi="Times New Roman" w:eastAsia="Batang"/>
          <w:sz w:val="22"/>
        </w:rPr>
        <w:t xml:space="preserve"> in this crate's own code; the dependency surface is small and each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dependency's role is documented (Chapter XVI).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Disadvantages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No SIMD-accelerated path yet, despite Chapter XI's infrastructure; XXH3's and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>'s own internal dispatch is the only acceleration currently in effect.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 xml:space="preserve">'s wrapping-sum combiner (and by extension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)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not collision-resistant against an adversarial input; fine for equivalence testing between trusted pipelines, not a substitute for a cryptographic MAC.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>'s one-level-of-object-path support (Chapter V, Section 3) will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satisfy every real-world nested JSON shape; array-of-object flattening in particular is unbuilt.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>'s numeric-widening table is deliberately narrower than Spark's own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implicit-cast rules; a schema comparison Spark would accept silently can still be reported as retyped here.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are limited to the numeric subset of Table 3-2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(no string min/max, no date/timestamp/decimal aggregation yet), and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(Chapter X, Section 3).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requires an exact Arrow type match between paired key columns; no implicit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coercion, matching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>'s own conservatism (Chapter IV, Section 2).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Conditions under which this design is inappropriate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 dataset whose Arrow representation does not fit in memory on one node: witchhat has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no distributed execution model, and is not intended to gain one (Chapter I, Section 3).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 column type outside Table 3-2's supported set, for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specifically (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>'s group/key columns are not limited to this table).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JSON with array-valued fields, or more than one level of object nesting, that need to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be preserved rather than degraded to a counted null.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 use case needing cryptographic collision resistance from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, rather than equivalence-testing evidence.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An aggregate over non-numeric columns beyond </w:t>
      </w:r>
      <w:r>
        <w:rPr>
          <w:rFonts w:ascii="Consolas" w:hAnsi="Consolas" w:eastAsia="Consolas"/>
          <w:sz w:val="18"/>
        </w:rPr>
        <w:t>Count</w:t>
      </w:r>
      <w:r>
        <w:rPr>
          <w:rFonts w:ascii="Times New Roman" w:hAnsi="Times New Roman" w:eastAsia="Batang"/>
          <w:sz w:val="22"/>
        </w:rPr>
        <w:t xml:space="preserve">, or over </w:t>
      </w:r>
      <w:r>
        <w:rPr>
          <w:rFonts w:ascii="Consolas" w:hAnsi="Consolas" w:eastAsia="Consolas"/>
          <w:sz w:val="18"/>
        </w:rPr>
        <w:t>Decimal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Date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Time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 columns.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XVIII. Status and What Comes Next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Implemented and tested: composite row/table hashing (now covering Date/Time/Timestamp/ Decimal in addition to the original numeric/string/binary set), schema fingerprinting and validation, JSON normalization, regex cleanup (ad hoc and presets), output-equivalence testing, deduplication, join (inner/left/right/full), aggregate (count/sum/mean/min/max), CPU feature detection, the Python binding boundary, the </w:t>
      </w:r>
      <w:r>
        <w:rPr>
          <w:rFonts w:ascii="Consolas" w:hAnsi="Consolas" w:eastAsia="Consolas"/>
          <w:sz w:val="18"/>
        </w:rPr>
        <w:t>abi3-py310</w:t>
      </w:r>
      <w:r>
        <w:rPr>
          <w:rFonts w:ascii="Times New Roman" w:hAnsi="Times New Roman" w:eastAsia="Batang"/>
          <w:sz w:val="22"/>
        </w:rPr>
        <w:t xml:space="preserve"> wheel build.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Publishing to a package repository and verifying installation from a Unity Catalog Volume against a live workspace were both raised and then deliberately decided against pursuing further (2026-09-16): the project stays wheel-only, and the Volumes install path is documented as the standard, sufficient procedure rather than something this repository additionally verifies live; see </w:t>
      </w:r>
      <w:r>
        <w:rPr>
          <w:rFonts w:ascii="Consolas" w:hAnsi="Consolas" w:eastAsia="Consolas"/>
          <w:sz w:val="18"/>
        </w:rPr>
        <w:t>docs/operations.md</w:t>
      </w:r>
      <w:r>
        <w:rPr>
          <w:rFonts w:ascii="Times New Roman" w:hAnsi="Times New Roman" w:eastAsia="Batang"/>
          <w:sz w:val="22"/>
        </w:rPr>
        <w:t xml:space="preserve"> Chapter VI, Section 2 for the reasoning. Still open: broader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type support (Section 2 above), and array-valued/deeper-nested JSON (Chapter V, Section 3). See the repository </w:t>
      </w:r>
      <w:r>
        <w:rPr>
          <w:rFonts w:ascii="Consolas" w:hAnsi="Consolas" w:eastAsia="Consolas"/>
          <w:sz w:val="18"/>
        </w:rPr>
        <w:t>README.md</w:t>
      </w:r>
      <w:r>
        <w:rPr>
          <w:rFonts w:ascii="Times New Roman" w:hAnsi="Times New Roman" w:eastAsia="Batang"/>
          <w:sz w:val="22"/>
        </w:rPr>
        <w:t xml:space="preserve"> for the up-to-date backlog; this document describes the architecture of what exists, and is expected to gain chapters as each item lands rather than being rewritten from scratch.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Apache Arrow columnar format: &lt;https://arrow.apache.org/docs/format/Columnar.html&gt;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arrow-row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RowConverter</w:t>
      </w:r>
      <w:r>
        <w:rPr>
          <w:rFonts w:ascii="Times New Roman" w:hAnsi="Times New Roman" w:eastAsia="Batang"/>
          <w:sz w:val="22"/>
        </w:rPr>
        <w:t>): &lt;https://docs.rs/arrow-row&gt;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 xml:space="preserve"> / XXH3: &lt;https://docs.rs/xxhash-rust&gt;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>: &lt;https://docs.rs/serde_json&gt;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 xml:space="preserve"> crate syntax: &lt;https://docs.rs/regex&gt;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PyO3 user guide: &lt;https://pyo3.rs&gt;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>, a companion project this documentation and CI convention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adopted from: </w:t>
      </w:r>
      <w:r>
        <w:rPr>
          <w:rFonts w:ascii="Consolas" w:hAnsi="Consolas" w:eastAsia="Consolas"/>
          <w:sz w:val="18"/>
        </w:rPr>
        <w:t>D:\ruststreamer\rust-streamer-pgdb\CLAUDE.md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Glossary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Glossary of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Term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Row hash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One </w:t>
            </w:r>
            <w:r>
              <w:rPr>
                <w:rFonts w:ascii="Consolas" w:hAnsi="Consolas" w:eastAsia="Consolas"/>
                <w:sz w:val="18"/>
              </w:rPr>
              <w:t>u64</w:t>
            </w:r>
            <w:r>
              <w:rPr>
                <w:rFonts w:ascii="Times New Roman" w:hAnsi="Times New Roman" w:eastAsia="Batang"/>
                <w:sz w:val="22"/>
              </w:rPr>
              <w:t xml:space="preserve"> per row, from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Table fingerprint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One order-independent </w:t>
            </w:r>
            <w:r>
              <w:rPr>
                <w:rFonts w:ascii="Consolas" w:hAnsi="Consolas" w:eastAsia="Consolas"/>
                <w:sz w:val="18"/>
              </w:rPr>
              <w:t>u64</w:t>
            </w:r>
            <w:r>
              <w:rPr>
                <w:rFonts w:ascii="Times New Roman" w:hAnsi="Times New Roman" w:eastAsia="Batang"/>
                <w:sz w:val="22"/>
              </w:rPr>
              <w:t xml:space="preserve"> over a whole batch of row hashes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named, frozen hashing algorithm; see Chapter III,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Type 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tag (plus parameters, for types like </w:t>
            </w:r>
            <w:r>
              <w:rPr>
                <w:rFonts w:ascii="Consolas" w:hAnsi="Consolas" w:eastAsia="Consolas"/>
                <w:sz w:val="18"/>
              </w:rPr>
              <w:t>Timestamp</w:t>
            </w:r>
            <w:r>
              <w:rPr>
                <w:rFonts w:ascii="Times New Roman" w:hAnsi="Times New Roman" w:eastAsia="Batang"/>
                <w:sz w:val="22"/>
              </w:rPr>
              <w:t>) distinguishing Arrow types that could share raw bytes; see Chapter III, Section 3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structured result of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  <w:r>
              <w:rPr>
                <w:rFonts w:ascii="Times New Roman" w:hAnsi="Times New Roman" w:eastAsia="Batang"/>
                <w:sz w:val="22"/>
              </w:rPr>
              <w:t>; see Chapter IV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Breaking (schema diff)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missing, retyped, or nullability-tightened column; see Chapter IV, Section 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NormalizeStats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Malformed-row and type-mismatch counts from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  <w:r>
              <w:rPr>
                <w:rFonts w:ascii="Times New Roman" w:hAnsi="Times New Roman" w:eastAsia="Batang"/>
                <w:sz w:val="22"/>
              </w:rPr>
              <w:t>; see Chapter V,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Preset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named, versioned built-in </w:t>
            </w:r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 set; see Chapter VI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EquivalenceReport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structured result of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  <w:r>
              <w:rPr>
                <w:rFonts w:ascii="Times New Roman" w:hAnsi="Times New Roman" w:eastAsia="Batang"/>
                <w:sz w:val="22"/>
              </w:rPr>
              <w:t>; see Chapter VII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Row format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arrow_row</w:t>
            </w:r>
            <w:r>
              <w:rPr>
                <w:rFonts w:ascii="Times New Roman" w:hAnsi="Times New Roman" w:eastAsia="Batang"/>
                <w:sz w:val="22"/>
              </w:rPr>
              <w:t xml:space="preserve">'s canonical, memcmp-comparable byte encoding of one or more columns; the basis for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grouping; see Chapter IX,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abi3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CPython's stable ABI; one compiled extension loads on every Python from the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declared floor version onward |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