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4. Schema validation is a different shape</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see </w:t>
      </w:r>
      <w:r>
        <w:rPr>
          <w:rFonts w:ascii="Consolas" w:hAnsi="Consolas" w:eastAsia="Consolas"/>
          <w:sz w:val="18"/>
        </w:rPr>
        <w:t>.github/workflows/ci.yml</w:t>
      </w:r>
      <w:r>
        <w:rPr>
          <w:rFonts w:ascii="Times New Roman" w:hAnsi="Times New Roman" w:eastAsia="Batang"/>
          <w:sz w:val="22"/>
        </w:rPr>
        <w:t xml:space="preserve"> for the exact invocation CI uses, via </w:t>
      </w:r>
      <w:r>
        <w:rPr>
          <w:rFonts w:ascii="Consolas" w:hAnsi="Consolas" w:eastAsia="Consolas"/>
          <w:sz w:val="18"/>
        </w:rPr>
        <w:t>PyO3/maturin-action</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xml:space="preserve">: that is the difference between "loads on 3.10 and every later interpreter from one build" and "loads on 3.10 only". CI's </w:t>
      </w:r>
      <w:r>
        <w:rPr>
          <w:rFonts w:ascii="Consolas" w:hAnsi="Consolas" w:eastAsia="Consolas"/>
          <w:sz w:val="18"/>
        </w:rPr>
        <w:t>wheel</w:t>
      </w:r>
      <w:r>
        <w:rPr>
          <w:rFonts w:ascii="Times New Roman" w:hAnsi="Times New Roman" w:eastAsia="Batang"/>
          <w:sz w:val="22"/>
        </w:rPr>
        <w:t xml:space="preserve"> job asserts this and then imports the wheel and exercises every exported function (</w:t>
      </w:r>
      <w:r>
        <w:rPr>
          <w:rFonts w:ascii="Consolas" w:hAnsi="Consolas" w:eastAsia="Consolas"/>
          <w:sz w:val="18"/>
        </w:rPr>
        <w:t>tools/smoke.py</w:t>
      </w:r>
      <w:r>
        <w:rPr>
          <w:rFonts w:ascii="Times New Roman" w:hAnsi="Times New Roman" w:eastAsia="Batang"/>
          <w:sz w:val="22"/>
        </w:rPr>
        <w:t>) before publishing it as an artifact.</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wheel was built in-house and is not meant to be public</w:t>
            </w:r>
          </w:p>
        </w:tc>
      </w:tr>
      <w:tr>
        <w:tc>
          <w:tcPr>
            <w:tcW w:type="dxa" w:w="4702"/>
          </w:tcPr>
          <w:p>
            <w:r>
              <w:rPr>
                <w:rFonts w:ascii="Times New Roman" w:hAnsi="Times New Roman" w:eastAsia="Batang"/>
                <w:sz w:val="22"/>
              </w:rPr>
              <w:t>A package repository (internal PyPI-compatible index, or public PyPI once published)</w:t>
            </w:r>
          </w:p>
        </w:tc>
        <w:tc>
          <w:tcPr>
            <w:tcW w:type="dxa" w:w="4702"/>
          </w:tcPr>
          <w:p>
            <w:r>
              <w:rPr>
                <w:rFonts w:ascii="Times New Roman" w:hAnsi="Times New Roman" w:eastAsia="Batang"/>
                <w:sz w:val="22"/>
              </w:rPr>
              <w:t>The wheel should be installable by name, like any other dependency</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Once published to an index Databricks can reach, </w:t>
      </w:r>
      <w:r>
        <w:rPr>
          <w:rFonts w:ascii="Consolas" w:hAnsi="Consolas" w:eastAsia="Consolas"/>
          <w:sz w:val="18"/>
        </w:rPr>
        <w:t>%pip install witchhat</w:t>
      </w:r>
      <w:r>
        <w:rPr>
          <w:rFonts w:ascii="Times New Roman" w:hAnsi="Times New Roman" w:eastAsia="Batang"/>
          <w:sz w:val="22"/>
        </w:rPr>
        <w:t xml:space="preserve"> (or a cluster library entry naming the package) works like any other PyPI dependency. Not yet done for this project; tracked as an open item.</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A future kernel expensive enough to justify releasing the GIL (</w:t>
      </w:r>
      <w:r>
        <w:rPr>
          <w:rFonts w:ascii="Consolas" w:hAnsi="Consolas" w:eastAsia="Consolas"/>
          <w:sz w:val="18"/>
        </w:rPr>
        <w:t>architecture.md</w:t>
      </w:r>
      <w:r>
        <w:rPr>
          <w:rFonts w:ascii="Times New Roman" w:hAnsi="Times New Roman" w:eastAsia="Batang"/>
          <w:sz w:val="22"/>
        </w:rPr>
        <w:t xml:space="preserve"> Chapter VI) would also be a candidate for internal parallelism; neither exists yet.</w:t>
      </w:r>
    </w:p>
    <w:p>
      <w:pPr>
        <w:pStyle w:val="Heading2"/>
      </w:pPr>
      <w:r>
        <w:rPr>
          <w:rFonts w:ascii="Times New Roman" w:hAnsi="Times New Roman" w:eastAsia="Batang"/>
          <w:b/>
          <w:color w:val="000000"/>
          <w:sz w:val="24"/>
        </w:rPr>
        <w:t>4. Schema validation is a different shape</w:t>
      </w:r>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O(fields), not O(rows): it never touches the data in a batch, only its schema. Cost is negligible relative to any hashing or future transformation kernel, so it is cheap enough to run on every batch as a pre-flight check rather than sampled or skipped for performance reasons.</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bl>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not in this table: a schema mismatch is a normal </w:t>
      </w:r>
      <w:r>
        <w:rPr>
          <w:rFonts w:ascii="Consolas" w:hAnsi="Consolas" w:eastAsia="Consolas"/>
          <w:sz w:val="18"/>
        </w:rPr>
        <w:t>SchemaDiff</w:t>
      </w:r>
      <w:r>
        <w:rPr>
          <w:rFonts w:ascii="Times New Roman" w:hAnsi="Times New Roman" w:eastAsia="Batang"/>
          <w:sz w:val="22"/>
        </w:rPr>
        <w:t xml:space="preserve"> return value, never an exception. If a caller wants a mismatch to fail loudly, that is their own </w:t>
      </w:r>
      <w:r>
        <w:rPr>
          <w:rFonts w:ascii="Consolas" w:hAnsi="Consolas" w:eastAsia="Consolas"/>
          <w:sz w:val="18"/>
        </w:rPr>
        <w:t>if diff.is_breaking(): raise ...</w:t>
      </w:r>
      <w:r>
        <w:rPr>
          <w:rFonts w:ascii="Times New Roman" w:hAnsi="Times New Roman" w:eastAsia="Batang"/>
          <w:sz w:val="22"/>
        </w:rPr>
        <w:t xml:space="preserve">, not something witchhat raises for them (see </w:t>
      </w:r>
      <w:r>
        <w:rPr>
          <w:rFonts w:ascii="Consolas" w:hAnsi="Consolas" w:eastAsia="Consolas"/>
          <w:sz w:val="18"/>
        </w:rPr>
        <w:t>docs/api.md</w:t>
      </w:r>
      <w:r>
        <w:rPr>
          <w:rFonts w:ascii="Times New Roman" w:hAnsi="Times New Roman" w:eastAsia="Batang"/>
          <w:sz w:val="22"/>
        </w:rPr>
        <w:t xml:space="preserve"> Section V.3 for the pattern).</w:t>
      </w:r>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The following sections exist in a conventional operations manual and are deliberately absent here, because the feature they would document does not exist yet (</w:t>
      </w:r>
      <w:r>
        <w:rPr>
          <w:rFonts w:ascii="Consolas" w:hAnsi="Consolas" w:eastAsia="Consolas"/>
          <w:sz w:val="18"/>
        </w:rPr>
        <w:t>architecture.md</w:t>
      </w:r>
      <w:r>
        <w:rPr>
          <w:rFonts w:ascii="Times New Roman" w:hAnsi="Times New Roman" w:eastAsia="Batang"/>
          <w:sz w:val="22"/>
        </w:rPr>
        <w:t xml:space="preserve"> Chapter XI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or succeeds synchronously within the caller's own job.</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witchhat to enforce one.</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this chapter as each corresponding backlog item in </w:t>
      </w:r>
      <w:r>
        <w:rPr>
          <w:rFonts w:ascii="Consolas" w:hAnsi="Consolas" w:eastAsia="Consolas"/>
          <w:sz w:val="18"/>
        </w:rPr>
        <w:t>architecture.md</w:t>
      </w:r>
      <w:r>
        <w:rPr>
          <w:rFonts w:ascii="Times New Roman" w:hAnsi="Times New Roman" w:eastAsia="Batang"/>
          <w:sz w:val="22"/>
        </w:rPr>
        <w:t xml:space="preserve"> Chapter XI lands, rather than writing these sections speculatively now.</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