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45"/>
      </w:tblGrid>
      <w:tr w:rsidR="004C7CD8" w:rsidRPr="004C7CD8" w:rsidTr="004C7CD8">
        <w:trPr>
          <w:tblCellSpacing w:w="0" w:type="dxa"/>
        </w:trPr>
        <w:tc>
          <w:tcPr>
            <w:tcW w:w="0" w:type="auto"/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7CD8" w:rsidRPr="004C7CD8" w:rsidRDefault="004C7CD8" w:rsidP="004C7CD8">
            <w:pPr>
              <w:spacing w:after="0" w:line="240" w:lineRule="atLeast"/>
              <w:jc w:val="center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4C7CD8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t>09.02.01 Компьютерные системы и комплексы</w:t>
            </w:r>
          </w:p>
        </w:tc>
      </w:tr>
      <w:tr w:rsidR="004C7CD8" w:rsidRPr="004C7CD8" w:rsidTr="004C7C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7CD8" w:rsidRPr="004C7CD8" w:rsidRDefault="004C7CD8" w:rsidP="004C7CD8">
            <w:pPr>
              <w:spacing w:after="0" w:line="240" w:lineRule="atLeast"/>
              <w:jc w:val="center"/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</w:pPr>
            <w:r w:rsidRPr="004C7CD8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t>4 года 10 мес., углублённая подготовка</w:t>
            </w:r>
            <w:r w:rsidRPr="004C7CD8">
              <w:rPr>
                <w:rFonts w:ascii="Tahoma" w:eastAsia="Times New Roman" w:hAnsi="Tahoma" w:cs="Tahoma"/>
                <w:b/>
                <w:bCs/>
                <w:color w:val="555555"/>
                <w:sz w:val="20"/>
                <w:szCs w:val="20"/>
                <w:lang w:eastAsia="ru-RU"/>
              </w:rPr>
              <w:br/>
              <w:t>Квалификация выпускника – СПЕЦИАЛИСТ ПО КОМПЬЮТЕРНЫМ СИСТЕМАМ</w:t>
            </w:r>
          </w:p>
        </w:tc>
      </w:tr>
      <w:tr w:rsidR="004C7CD8" w:rsidRPr="004C7CD8" w:rsidTr="004C7C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7CD8" w:rsidRPr="004C7CD8" w:rsidRDefault="004C7CD8" w:rsidP="004C7CD8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</w:r>
            <w:r w:rsidRPr="004C7CD8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u w:val="single"/>
                <w:lang w:eastAsia="ru-RU"/>
              </w:rPr>
              <w:t>Область профессиональной деятельности выпускников:</w:t>
            </w: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  - совокупность методов и средств по разработке и производству компьютерных систем и комплексов;</w:t>
            </w: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  - эксплуатация, техническое обслуживание, сопровождение и настройка компьютерных систем и комплексов;</w:t>
            </w: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  - обеспечение функционирования программно-аппаратных средств защиты информации в компьютерных системах и комплексах.</w:t>
            </w: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  </w:t>
            </w:r>
            <w:r w:rsidRPr="004C7CD8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Техник по компьютерным системам</w:t>
            </w: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должен обладать профессиональными компетенциями по основным видам деятельности:</w:t>
            </w:r>
          </w:p>
        </w:tc>
      </w:tr>
      <w:tr w:rsidR="004C7CD8" w:rsidRPr="004C7CD8" w:rsidTr="004C7CD8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7CD8" w:rsidRPr="004C7CD8" w:rsidRDefault="004C7CD8" w:rsidP="004C7CD8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4C7CD8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1. Проектирование цифровых устройств.</w:t>
            </w:r>
          </w:p>
        </w:tc>
      </w:tr>
      <w:tr w:rsidR="004C7CD8" w:rsidRPr="004C7CD8" w:rsidTr="004C7C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7CD8" w:rsidRPr="004C7CD8" w:rsidRDefault="004C7CD8" w:rsidP="004C7CD8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Разрабатывать схемы цифровых устройств на основе интегральных схем разной степени интеграции.</w:t>
            </w: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Выполнять требования технического задания на проектирование цифровых устройств.</w:t>
            </w: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Использовать средства и методы автоматизированного проектирования при разработке цифровых устройств.</w:t>
            </w: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Определять показатели надежности и качества проектируемых цифровых устройств.</w:t>
            </w: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Выполнять требования нормативно-технической документации</w:t>
            </w:r>
          </w:p>
        </w:tc>
      </w:tr>
      <w:tr w:rsidR="004C7CD8" w:rsidRPr="004C7CD8" w:rsidTr="004C7CD8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7CD8" w:rsidRPr="004C7CD8" w:rsidRDefault="004C7CD8" w:rsidP="004C7CD8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4C7CD8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2. Применение микропроцессорных систем, установка и настройка периферийного оборудования.</w:t>
            </w:r>
          </w:p>
        </w:tc>
      </w:tr>
      <w:tr w:rsidR="004C7CD8" w:rsidRPr="004C7CD8" w:rsidTr="004C7C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7CD8" w:rsidRPr="004C7CD8" w:rsidRDefault="004C7CD8" w:rsidP="004C7CD8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Создавать программы на языке ассемблера для микропроцессорных систем.</w:t>
            </w: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Производить тестирование и отладку микропроцессорных систем.</w:t>
            </w: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 xml:space="preserve">      • Осуществлять установку и конфигурирование персональных </w:t>
            </w:r>
            <w:proofErr w:type="gramStart"/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компьютеров</w:t>
            </w:r>
            <w:proofErr w:type="gramEnd"/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 xml:space="preserve"> и подключение периферийных устройств.</w:t>
            </w: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Выявлять причины неисправности периферийного оборудования</w:t>
            </w:r>
          </w:p>
        </w:tc>
      </w:tr>
      <w:tr w:rsidR="004C7CD8" w:rsidRPr="004C7CD8" w:rsidTr="004C7CD8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7CD8" w:rsidRPr="004C7CD8" w:rsidRDefault="004C7CD8" w:rsidP="004C7CD8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4C7CD8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3. Техническое обслуживание и ремонт компьютерных систем и комплексов.</w:t>
            </w:r>
          </w:p>
        </w:tc>
      </w:tr>
      <w:tr w:rsidR="004C7CD8" w:rsidRPr="004C7CD8" w:rsidTr="004C7C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7CD8" w:rsidRPr="004C7CD8" w:rsidRDefault="004C7CD8" w:rsidP="004C7CD8">
            <w:pPr>
              <w:numPr>
                <w:ilvl w:val="0"/>
                <w:numId w:val="3"/>
              </w:numPr>
              <w:spacing w:before="100" w:beforeAutospacing="1" w:after="100" w:afterAutospacing="1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Проводить контроль, диагностику и восстановление работоспособности компьютерных систем и комплексов.</w:t>
            </w:r>
          </w:p>
          <w:p w:rsidR="004C7CD8" w:rsidRPr="004C7CD8" w:rsidRDefault="004C7CD8" w:rsidP="004C7CD8">
            <w:pPr>
              <w:numPr>
                <w:ilvl w:val="0"/>
                <w:numId w:val="3"/>
              </w:numPr>
              <w:spacing w:before="100" w:beforeAutospacing="1" w:after="100" w:afterAutospacing="1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Проводить системотехническое обслуживание компьютерных систем и комплексов.</w:t>
            </w:r>
          </w:p>
          <w:p w:rsidR="004C7CD8" w:rsidRPr="004C7CD8" w:rsidRDefault="004C7CD8" w:rsidP="004C7CD8">
            <w:pPr>
              <w:numPr>
                <w:ilvl w:val="0"/>
                <w:numId w:val="3"/>
              </w:numPr>
              <w:spacing w:before="100" w:beforeAutospacing="1" w:after="100" w:afterAutospacing="1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Принимать участие в отладке и технических испытаниях компьютерных систем и комплексов; инсталляции, конфигурировании программного обеспечения.</w:t>
            </w:r>
          </w:p>
          <w:p w:rsidR="004C7CD8" w:rsidRPr="004C7CD8" w:rsidRDefault="004C7CD8" w:rsidP="004C7CD8">
            <w:pPr>
              <w:numPr>
                <w:ilvl w:val="0"/>
                <w:numId w:val="3"/>
              </w:numPr>
              <w:spacing w:before="100" w:beforeAutospacing="1" w:after="100" w:afterAutospacing="1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Выявлять потребности клиента и его требования к компьютерной системе и (или) комплексу.</w:t>
            </w:r>
          </w:p>
          <w:p w:rsidR="004C7CD8" w:rsidRPr="004C7CD8" w:rsidRDefault="004C7CD8" w:rsidP="004C7CD8">
            <w:pPr>
              <w:numPr>
                <w:ilvl w:val="0"/>
                <w:numId w:val="3"/>
              </w:numPr>
              <w:spacing w:before="100" w:beforeAutospacing="1" w:after="100" w:afterAutospacing="1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Содействовать заказчику в выборе варианта комплектации компьютерных систем и комплексов с учетом выявленных требований.</w:t>
            </w:r>
          </w:p>
          <w:p w:rsidR="004C7CD8" w:rsidRPr="004C7CD8" w:rsidRDefault="004C7CD8" w:rsidP="004C7CD8">
            <w:pPr>
              <w:numPr>
                <w:ilvl w:val="0"/>
                <w:numId w:val="3"/>
              </w:numPr>
              <w:spacing w:before="100" w:beforeAutospacing="1" w:after="100" w:afterAutospacing="1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Информировать клиента об условиях эксплуатации выбранных вариантов технических решений.</w:t>
            </w:r>
          </w:p>
          <w:p w:rsidR="004C7CD8" w:rsidRPr="004C7CD8" w:rsidRDefault="004C7CD8" w:rsidP="004C7CD8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</w:p>
        </w:tc>
      </w:tr>
      <w:tr w:rsidR="004C7CD8" w:rsidRPr="004C7CD8" w:rsidTr="004C7CD8">
        <w:trPr>
          <w:tblCellSpacing w:w="0" w:type="dxa"/>
        </w:trPr>
        <w:tc>
          <w:tcPr>
            <w:tcW w:w="0" w:type="auto"/>
            <w:tcBorders>
              <w:top w:val="single" w:sz="6" w:space="0" w:color="555555"/>
              <w:left w:val="single" w:sz="6" w:space="0" w:color="555555"/>
              <w:bottom w:val="single" w:sz="6" w:space="0" w:color="555555"/>
              <w:right w:val="single" w:sz="6" w:space="0" w:color="555555"/>
            </w:tcBorders>
            <w:shd w:val="clear" w:color="auto" w:fill="DEDEDE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C7CD8" w:rsidRPr="004C7CD8" w:rsidRDefault="004C7CD8" w:rsidP="004C7CD8">
            <w:pPr>
              <w:spacing w:after="0" w:line="240" w:lineRule="atLeast"/>
              <w:jc w:val="both"/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</w:pPr>
            <w:r w:rsidRPr="004C7CD8">
              <w:rPr>
                <w:rFonts w:ascii="Tahoma" w:eastAsia="Times New Roman" w:hAnsi="Tahoma" w:cs="Tahoma"/>
                <w:b/>
                <w:bCs/>
                <w:color w:val="555555"/>
                <w:sz w:val="17"/>
                <w:szCs w:val="17"/>
                <w:lang w:eastAsia="ru-RU"/>
              </w:rPr>
              <w:t>4. Выполнение работ по одной или нескольким рабочим профессиям</w:t>
            </w:r>
          </w:p>
        </w:tc>
      </w:tr>
      <w:tr w:rsidR="004C7CD8" w:rsidRPr="004C7CD8" w:rsidTr="004C7CD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4C7CD8" w:rsidRPr="004C7CD8" w:rsidRDefault="004C7CD8" w:rsidP="004C7CD8">
            <w:pPr>
              <w:spacing w:after="0" w:line="240" w:lineRule="atLeast"/>
              <w:jc w:val="both"/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</w:pP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t>      • «Оператор электронно-вычислительных и вычислительных машин» </w:t>
            </w:r>
            <w:r w:rsidRPr="004C7CD8">
              <w:rPr>
                <w:rFonts w:ascii="Tahoma" w:eastAsia="Times New Roman" w:hAnsi="Tahoma" w:cs="Tahoma"/>
                <w:color w:val="555555"/>
                <w:sz w:val="17"/>
                <w:szCs w:val="17"/>
                <w:lang w:eastAsia="ru-RU"/>
              </w:rPr>
              <w:br/>
              <w:t>      • «Наладчик технологического оборудования»</w:t>
            </w:r>
          </w:p>
        </w:tc>
      </w:tr>
    </w:tbl>
    <w:p w:rsidR="00BF6E33" w:rsidRDefault="00BF6E33">
      <w:bookmarkStart w:id="0" w:name="_GoBack"/>
      <w:bookmarkEnd w:id="0"/>
    </w:p>
    <w:sectPr w:rsidR="00BF6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A0F"/>
    <w:multiLevelType w:val="multilevel"/>
    <w:tmpl w:val="39526616"/>
    <w:lvl w:ilvl="0">
      <w:start w:val="1"/>
      <w:numFmt w:val="decimal"/>
      <w:suff w:val="space"/>
      <w:lvlText w:val="%1"/>
      <w:lvlJc w:val="left"/>
      <w:pPr>
        <w:ind w:left="567" w:firstLine="0"/>
      </w:pPr>
      <w:rPr>
        <w:rFonts w:ascii="Times New Roman" w:hAnsi="Times New Roman" w:hint="default"/>
        <w:b/>
        <w:i/>
        <w:sz w:val="32"/>
        <w:u w:val="none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ascii="Times New Roman" w:hAnsi="Times New Roman" w:hint="default"/>
        <w:b/>
        <w:i/>
        <w:sz w:val="28"/>
      </w:rPr>
    </w:lvl>
    <w:lvl w:ilvl="3">
      <w:start w:val="1"/>
      <w:numFmt w:val="decimal"/>
      <w:suff w:val="space"/>
      <w:lvlText w:val="%1.%2.%3.%4"/>
      <w:lvlJc w:val="left"/>
      <w:pPr>
        <w:ind w:left="1134" w:firstLine="0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bullet"/>
      <w:suff w:val="space"/>
      <w:lvlText w:val="–"/>
      <w:lvlJc w:val="left"/>
      <w:pPr>
        <w:ind w:left="1418" w:firstLine="0"/>
      </w:pPr>
      <w:rPr>
        <w:rFonts w:ascii="Times New Roman" w:hAnsi="Times New Roman" w:cs="Times New Roman" w:hint="default"/>
        <w:b w:val="0"/>
        <w:i w:val="0"/>
        <w:sz w:val="28"/>
      </w:rPr>
    </w:lvl>
    <w:lvl w:ilvl="5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6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7">
      <w:start w:val="1"/>
      <w:numFmt w:val="none"/>
      <w:lvlText w:val=""/>
      <w:lvlJc w:val="left"/>
      <w:pPr>
        <w:ind w:left="216" w:hanging="357"/>
      </w:pPr>
      <w:rPr>
        <w:rFonts w:hint="default"/>
      </w:rPr>
    </w:lvl>
    <w:lvl w:ilvl="8">
      <w:start w:val="1"/>
      <w:numFmt w:val="none"/>
      <w:lvlText w:val=""/>
      <w:lvlJc w:val="left"/>
      <w:pPr>
        <w:ind w:left="216" w:hanging="357"/>
      </w:pPr>
      <w:rPr>
        <w:rFonts w:hint="default"/>
      </w:rPr>
    </w:lvl>
  </w:abstractNum>
  <w:abstractNum w:abstractNumId="1">
    <w:nsid w:val="40210055"/>
    <w:multiLevelType w:val="multilevel"/>
    <w:tmpl w:val="B0506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200A7C"/>
    <w:multiLevelType w:val="multilevel"/>
    <w:tmpl w:val="06E6FA5E"/>
    <w:styleLink w:val="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sz w:val="28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  <w:sz w:val="28"/>
      </w:r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hint="default"/>
      </w:rPr>
    </w:lvl>
  </w:abstractNum>
  <w:num w:numId="1">
    <w:abstractNumId w:val="0"/>
    <w:lvlOverride w:ilvl="1">
      <w:lvl w:ilvl="1">
        <w:start w:val="1"/>
        <w:numFmt w:val="decimal"/>
        <w:suff w:val="space"/>
        <w:lvlText w:val="%1.%2"/>
        <w:lvlJc w:val="left"/>
        <w:pPr>
          <w:ind w:left="709" w:firstLine="0"/>
        </w:pPr>
        <w:rPr>
          <w:rFonts w:ascii="Times New Roman" w:hAnsi="Times New Roman" w:hint="default"/>
          <w:b/>
          <w:i w:val="0"/>
          <w:sz w:val="28"/>
        </w:rPr>
      </w:lvl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B36"/>
    <w:rsid w:val="004C7CD8"/>
    <w:rsid w:val="006C5B36"/>
    <w:rsid w:val="00A15C42"/>
    <w:rsid w:val="00BF6E33"/>
    <w:rsid w:val="00E2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pple-converted-space">
    <w:name w:val="apple-converted-space"/>
    <w:basedOn w:val="a1"/>
    <w:rsid w:val="004C7CD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РефПодзаг"/>
    <w:basedOn w:val="a0"/>
    <w:rsid w:val="00E2359D"/>
    <w:pPr>
      <w:suppressAutoHyphens/>
      <w:spacing w:before="851" w:after="851" w:line="360" w:lineRule="auto"/>
      <w:jc w:val="both"/>
      <w:outlineLvl w:val="2"/>
    </w:pPr>
    <w:rPr>
      <w:rFonts w:ascii="Times New Roman" w:eastAsia="SimSun" w:hAnsi="Times New Roman" w:cs="Times New Roman"/>
      <w:b/>
      <w:i/>
      <w:color w:val="000000"/>
      <w:kern w:val="32"/>
      <w:sz w:val="28"/>
      <w:szCs w:val="24"/>
      <w:lang w:eastAsia="ar-SA"/>
    </w:rPr>
  </w:style>
  <w:style w:type="table" w:customStyle="1" w:styleId="a5">
    <w:name w:val="ПубДокТаб"/>
    <w:basedOn w:val="a2"/>
    <w:uiPriority w:val="99"/>
    <w:rsid w:val="00A15C42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  <w:tblPr>
      <w:tblBorders>
        <w:top w:val="single" w:sz="8" w:space="0" w:color="943634" w:themeColor="accent2" w:themeShade="BF"/>
        <w:left w:val="single" w:sz="8" w:space="0" w:color="943634" w:themeColor="accent2" w:themeShade="BF"/>
        <w:bottom w:val="single" w:sz="8" w:space="0" w:color="943634" w:themeColor="accent2" w:themeShade="BF"/>
        <w:right w:val="single" w:sz="8" w:space="0" w:color="943634" w:themeColor="accent2" w:themeShade="BF"/>
        <w:insideH w:val="single" w:sz="8" w:space="0" w:color="943634" w:themeColor="accent2" w:themeShade="BF"/>
        <w:insideV w:val="single" w:sz="8" w:space="0" w:color="943634" w:themeColor="accent2" w:themeShade="BF"/>
      </w:tblBorders>
    </w:tblPr>
    <w:tcPr>
      <w:shd w:val="clear" w:color="auto" w:fill="FFFFFF" w:themeFill="background1"/>
    </w:tcPr>
    <w:tblStylePr w:type="firstRow">
      <w:pPr>
        <w:jc w:val="left"/>
      </w:pPr>
      <w:rPr>
        <w:rFonts w:ascii="Times New Roman" w:hAnsi="Times New Roman"/>
        <w:b/>
        <w:sz w:val="28"/>
      </w:rPr>
      <w:tblPr/>
      <w:tcPr>
        <w:shd w:val="clear" w:color="auto" w:fill="E5B8B7" w:themeFill="accent2" w:themeFillTint="66"/>
      </w:tcPr>
    </w:tblStylePr>
  </w:style>
  <w:style w:type="numbering" w:customStyle="1" w:styleId="a">
    <w:name w:val="ПубДокСписок"/>
    <w:uiPriority w:val="99"/>
    <w:rsid w:val="00A15C42"/>
    <w:pPr>
      <w:numPr>
        <w:numId w:val="2"/>
      </w:numPr>
    </w:pPr>
  </w:style>
  <w:style w:type="paragraph" w:customStyle="1" w:styleId="a6">
    <w:name w:val="ПубДокПараграф"/>
    <w:basedOn w:val="a0"/>
    <w:next w:val="a0"/>
    <w:qFormat/>
    <w:rsid w:val="00A15C42"/>
    <w:pPr>
      <w:suppressAutoHyphens/>
      <w:autoSpaceDE w:val="0"/>
      <w:autoSpaceDN w:val="0"/>
      <w:adjustRightInd w:val="0"/>
      <w:spacing w:before="360" w:after="360" w:line="36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bCs/>
      <w:i/>
      <w:color w:val="365F91" w:themeColor="accent1" w:themeShade="BF"/>
      <w:sz w:val="28"/>
      <w:szCs w:val="28"/>
      <w:lang w:eastAsia="ru-RU"/>
    </w:rPr>
  </w:style>
  <w:style w:type="paragraph" w:customStyle="1" w:styleId="a7">
    <w:name w:val="ПубДокАбзац"/>
    <w:basedOn w:val="a0"/>
    <w:qFormat/>
    <w:rsid w:val="00A15C42"/>
    <w:pPr>
      <w:suppressAutoHyphens/>
      <w:autoSpaceDE w:val="0"/>
      <w:autoSpaceDN w:val="0"/>
      <w:adjustRightInd w:val="0"/>
      <w:spacing w:before="120" w:after="12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customStyle="1" w:styleId="apple-converted-space">
    <w:name w:val="apple-converted-space"/>
    <w:basedOn w:val="a1"/>
    <w:rsid w:val="004C7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364</Words>
  <Characters>2075</Characters>
  <Application>Microsoft Office Word</Application>
  <DocSecurity>0</DocSecurity>
  <Lines>17</Lines>
  <Paragraphs>4</Paragraphs>
  <ScaleCrop>false</ScaleCrop>
  <Company/>
  <LinksUpToDate>false</LinksUpToDate>
  <CharactersWithSpaces>2435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2015-10-05T07:21:00Z</dcterms:created>
  <dcterms:modified xsi:type="dcterms:W3CDTF">2015-10-05T07:21:00Z</dcterms:modified>
</cp:coreProperties>
</file>