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33" w:rsidRDefault="00591AD1"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Орехово - Зуевский промышленно-экономический колледж имени Саввы Морозова – одно из старейших учебных заведений Подмосковья. За 80 лет своего существования он несколько раз менял названия – Политехникум, Текстильный техникум, Промышленно-экономический колледж, появлялись новые и исчезали старые профессии, но не менялось главное – качество образования, бережное отношение к людям, традиции воспитания студентов.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      С 1930 по 2010 год колледж выпустил более 17000 высококвалифицированных специалистов для различных отраслей народного хозяйства. Мы дорожим своими традициями, и это позволяет нам воспитывать разносторонне развитых молодых людей. Мы гордимся нашими выпускниками, которые своими знаниями, опытом поддерживают доброе имя колледжа. </w:t>
      </w:r>
      <w:proofErr w:type="gram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В числе выпускников колледжа известные люди – лауреат Государственной премии М.И. Волкова, Герои труда В.Е. Матвеева, Е.Е. Локтева, за историю Орехово – Зуевского ХБК его директорами были наши выпускники Б.А. Молодцов, А.М.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Крутов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, А.М.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Потетенькин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, замминистра текстильной промышленности Г.И.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Разоренов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, в 70 -80 годы на комбинате занимали высокие посты более 1,5 тысяч выпускников нашего колледжа</w:t>
      </w:r>
      <w:proofErr w:type="gram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. Сейчас нам тоже есть, кем гордиться. Выпускники колледжа работают в различных отраслях на предприятиях города, района, области.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      Наш колледж имеет богатую историю. Подмосковный город Орехово-Зуево уже в 20-е годы прошлого века стал одним из крупнейших текстильных центров страны, вопрос о кадрах для текстильной отрасли стоял остро.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      В далеком 1931 году приказом ВСНХ в Орехово-Зуево был открыт вечерний политехникум, в котором наряду со строительным и торфяным отделением работало текстильное отделение. Первых специалистов колледж выпустил в 1934 году. Выпускники 30-годов стали впоследствии директорами фабрик, инженерами различных служб и сразу же утвердили за техникумом добрую славу.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      Уже в 1935 году произошла реорганизация, и техникум стал самостоятельным средне – специальным учебным заведением, первым его директором был назначен П. П.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Назин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. Техникуму тогда было выделено здание старой ткацкой фабрики №2, оснащение мастерских и лабораторий соответствовало действующему уровню развитию текстильной промышленности тех лет. Новое учебное заведение имело дневное, заочное и вечернее отделения, техникум готовил специалистов по специальностям: «Прядильное производство», «Ткацкое производство», «Отделка тканей».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      В годы Великой Отечественной войны техникум продолжал работать, несмотря на то, что многие преподаватели и студенты ушли на фронт. После Великой Отечественной войны наступает новый период в развитии техникума, возвращаются с фронта преподаватели Юдин Б.Н., Гаврилов Б.Н.,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Калиман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И.Г.,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Мотызлевский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В.Н., Терехин Д.А., появляются новые специальности. С 1953 года широкое развитие получила подготовка специалистов из числа рабочих и служащих без отрыва от производства. В отдельные годы контингент учащихся вечернего отделения достигал 800 человек, были открыты филиалы при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Дрезненской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Ликинской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, Лакинской,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Собинской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прядильно-ткацких фабриках, при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Городищенской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отделочной фабрике,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Глуховском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хлопчатобумажном комбинате, при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Обуховском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суконно-ковровом комбинате. В 50 – 60- е годы укрепляется материально – техническая база техникума, обновляется педагогический коллектив. Среди выпускников этих лет – руководители предприятий, мастера участков, начальники цехов, новаторы производства, партийные и советские работники. Среди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инженерно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– технического персонала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Ореховского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ХБК 827 выпускников техникума. С 1957 года Комбинат становится базовым предприятием техникума. В 1967 году в техникум был назначен новый директор –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Бочин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Михаил Сергеевич, а вместе с ним в коллектив техникума влился новый поток молодых преподавателей – профессионалов, таких как: </w:t>
      </w:r>
      <w:proofErr w:type="gram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Агапова Р.П.,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Чавкин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В.И., Чернова Н.П.,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Гузанова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М.И., Хрусталева Т.В.,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Николашкин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М.П., М.П., Вениаминов Ф.А., Бугрова Г.Н., Степнова Р.И., Насонов В.П.,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Ройтенбурд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Ф.Е.,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Шеленкова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Л.В., Ечеистов Ю.А., Левон Р.П.,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Кузмичева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Г.В., Тупицына Л.А., Столетов В.В., Савельева Т.Е. многие другие.</w:t>
      </w:r>
      <w:proofErr w:type="gramEnd"/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      В 1973 году техникум получил в свое распоряжение новый учебный корпус, переоборудованный из казармы. Реконструкция здания была завершена к 1976 году. Старая казарма удивительным образом похорошела, превратилась в современный учебно-производственный комплекс с мастерскими, библиотекой, актовым и спортивным залами, светлыми уютными аудиториями, компьютерными классами. С 1969 года в техникуме открыта специальность Экономика и бухгалтерский учет, в 1975 году – Теплоснабжение и теплотехническое оборудование. В конце 70-х годов техникум вел активную переписку со студентами учебного заведения текстильного профиля Чехословакии, а потом наши студенты и преподаватели принимали студентов – чехов у себя и ездили на практику в г. Устье - на – Орлице. </w:t>
      </w:r>
      <w:proofErr w:type="gram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В 70 - 80 годы в колледж приходят новые преподаватели –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Рычков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В.П.,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Сарапкин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Н.В., Пименова В.П., Беляков В.В., Виноградова Н.П., Уткин В.Н., Липатова С.А., Коржавин Р.А., Глазова Н.П.,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Сударева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Н.Т., Савельева Т.И., Чижов Н.А.,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Бандуркин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В.С., Сорокина Е.С., Лаврова О.И. и другие.</w:t>
      </w:r>
      <w:proofErr w:type="gram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Коллектив техникума наладил тесные связи с Московским государственным университетом имени А.Н. Косыгина, куда ежегодно направлялись лучшие выпускники, чтобы продолжить образование.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      В 90-е годы на рынок образовательных услуг повлияло состояние отечественной экономики, поэтому техникуму пришлось переориентироваться. </w:t>
      </w:r>
      <w:proofErr w:type="gram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К уже существующим специальностям прибавились Страховое дело, Автоматизация технологических процессов и производств, Коммерция, Дизайн, Реклама, пришли и новые преподаватели – специалисты Быкова Г.П., Абрамова И.А., Рычкова Е.И., Капустина И.А.,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Заплетина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Е.П.,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Бакина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Т.В., Левина Е.В., Лактионова В.Н.,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Фещенко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Л.Н.,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Самардак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Ю.Д., Лобанов А.В.,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Можаева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Г.В., Дудко В.Г., Медведева</w:t>
      </w:r>
      <w:proofErr w:type="gram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Л.В.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      С 2005 года учебным заведением руководит Криворучко Надежда Вадимовна. И сегодня колледж откликается на требования рынка, постоянно обновляя специальности. С 2007 года готовятся специалисты по специальности Техническое обслуживание вычислительной техники и компьютерных сетей, студенты экономического отделения </w:t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lastRenderedPageBreak/>
        <w:t xml:space="preserve">перешли на повышенный уровень обучения, в связи с объединением учебного заведения с </w:t>
      </w:r>
      <w:proofErr w:type="gram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Бизнес-колледжем</w:t>
      </w:r>
      <w:proofErr w:type="gram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 появились специальности Банковское дело, Налоги и налогообложение, Социальная работа, в 2010 году введены новые специальности Прикладная информатика и Компьютерные сети. Колледж имеет тесные связи с различными ВУЗами.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      Студенты коллежа получают дополнительное образование, развивают свои творческие способности, регулярно побеждают в олимпиадах, занимают призовые места в спортивных состязаниях различного уровня, становятся дипломантами областных конкурсов, играют в спектаклях – живут полнокровной жизнью.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      Мы смело смотрим вперед, стремимся в своей деятельности соответствовать современным условиям, аудитории колледжа постоянно оснащаются новым оборудованием, в компьютерных классах техника, отвечающая новым стандартам, в коллектив приходят молодые преподаватели. Несмотря на 80-летний юбилей мы молоды душой, нам по плечу любые трудности, в будущее мы смотрим с оптимизмом!</w:t>
      </w:r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1E"/>
    <w:rsid w:val="003F211E"/>
    <w:rsid w:val="00591AD1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591A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59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2015-10-05T06:43:00Z</dcterms:created>
  <dcterms:modified xsi:type="dcterms:W3CDTF">2015-10-05T06:44:00Z</dcterms:modified>
</cp:coreProperties>
</file>