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Tomato Seed Intelligence — Source Digest</w:t>
      </w:r>
    </w:p>
    <w:p>
      <w:pPr>
        <w:jc w:val="center"/>
      </w:pPr>
      <w:r>
        <w:t>Generated: 2026-04-27 | 9 of 16 sources indexed</w:t>
      </w:r>
    </w:p>
    <w:p/>
    <w:p>
      <w:pPr>
        <w:pStyle w:val="Heading1"/>
      </w:pPr>
      <w:r>
        <w:t>Hortidaily</w:t>
      </w:r>
    </w:p>
    <w:p>
      <w:r>
        <w:rPr>
          <w:b/>
        </w:rPr>
        <w:t xml:space="preserve">Title: </w:t>
      </w:r>
      <w:r>
        <w:t>Rising plastic costs drive interest in PHA-based alternatives in Europe’s greenhouse supply chain</w:t>
      </w:r>
    </w:p>
    <w:p>
      <w:r>
        <w:rPr>
          <w:b/>
        </w:rPr>
        <w:t xml:space="preserve">Date: </w:t>
      </w:r>
      <w:r>
        <w:t>2026-04-27</w:t>
      </w:r>
    </w:p>
    <w:p>
      <w:r>
        <w:rPr>
          <w:b/>
        </w:rPr>
        <w:t xml:space="preserve">URL: </w:t>
      </w:r>
      <w:r>
        <w:rPr>
          <w:color w:val="0000FF"/>
        </w:rPr>
        <w:t>https://www.hortidaily.com/article/9832752/rising-plastic-costs-drive-interest-in-pha-based-alternatives-in-europe-s-greenhouse-supply-chain/</w:t>
      </w:r>
    </w:p>
    <w:p>
      <w:r>
        <w:rPr>
          <w:b/>
        </w:rPr>
        <w:t xml:space="preserve">Excerpt: </w:t>
      </w:r>
      <w:r>
        <w:t>© reGreen reGreen LLC is a Ukrainian agri-tech startup developing biodegradable plant containers made from PHA-based bio-composites. The products are manufactured using renewable-powered, distributed 3D printing micro-factories and are intended for use in the European horticulture sector, where growers are facing increasing regulatory and cost pressures. "We are building a solution for a market th...</w:t>
      </w:r>
    </w:p>
    <w:p/>
    <w:p>
      <w:pPr>
        <w:pStyle w:val="Heading1"/>
      </w:pPr>
      <w:r>
        <w:t>MDPI Horticulturae</w:t>
      </w:r>
    </w:p>
    <w:p>
      <w:r>
        <w:rPr>
          <w:b/>
        </w:rPr>
        <w:t xml:space="preserve">Title: </w:t>
      </w:r>
      <w:r>
        <w:t>Trade-Off Between Fruit Yield and Antioxidant Accumulation in Physalis peruviana L. Under Different Water Availability Regimes</w:t>
      </w:r>
    </w:p>
    <w:p>
      <w:r>
        <w:rPr>
          <w:b/>
        </w:rPr>
        <w:t xml:space="preserve">Date: </w:t>
      </w:r>
      <w:r>
        <w:t>2026-04-23</w:t>
      </w:r>
    </w:p>
    <w:p>
      <w:r>
        <w:rPr>
          <w:b/>
        </w:rPr>
        <w:t xml:space="preserve">URL: </w:t>
      </w:r>
      <w:r>
        <w:rPr>
          <w:color w:val="0000FF"/>
        </w:rPr>
        <w:t>https://doi.org/10.3390/horticulturae12050517</w:t>
      </w:r>
    </w:p>
    <w:p>
      <w:r>
        <w:rPr>
          <w:b/>
        </w:rPr>
        <w:t xml:space="preserve">Excerpt: </w:t>
      </w:r>
      <w:r>
        <w:t>Physalis peruviana L., a South American species, has been increasingly cultivated because of its bioactive compounds and high commercial value. This study evaluated the biochemical responses and fruit quality of physalis plants subjected to different water availability regimes (40%, 70%, and 100% of field capacity), followed by recovery periods. The experiment was conducted at São Paulo State Univ...</w:t>
      </w:r>
    </w:p>
    <w:p/>
    <w:p>
      <w:pPr>
        <w:pStyle w:val="Heading1"/>
      </w:pPr>
      <w:r>
        <w:t>Oxford Academic — Horticulture Research</w:t>
      </w:r>
    </w:p>
    <w:p>
      <w:r>
        <w:rPr>
          <w:b/>
        </w:rPr>
        <w:t xml:space="preserve">Title: </w:t>
      </w:r>
      <w:r>
        <w:t>A VLCFAs–auxin regulatory module modulates root morphogenesis in apple</w:t>
      </w:r>
    </w:p>
    <w:p>
      <w:r>
        <w:rPr>
          <w:b/>
        </w:rPr>
        <w:t xml:space="preserve">Date: </w:t>
      </w:r>
      <w:r>
        <w:t>2026-04-27</w:t>
      </w:r>
    </w:p>
    <w:p>
      <w:r>
        <w:rPr>
          <w:b/>
        </w:rPr>
        <w:t xml:space="preserve">URL: </w:t>
      </w:r>
      <w:r>
        <w:rPr>
          <w:color w:val="0000FF"/>
        </w:rPr>
        <w:t>https://doi.org/10.1093/hr/uhag168</w:t>
      </w:r>
    </w:p>
    <w:p>
      <w:r>
        <w:rPr>
          <w:b/>
        </w:rPr>
        <w:t xml:space="preserve">Excerpt: </w:t>
      </w:r>
      <w:r>
        <w:t>Abstract Root elongation is a key adaptive trait that enables plants to respond to soil conditions and is jointly regulated by auxin signaling and very long-chain fatty acids (VLCFAs). However, the molecular mechanism underlying this pathway remains unclear in apple. In this study, we elucidate the roles and regulatory relationship between auxin and VLCFAs biosynthesis in apple. VLCFAs accumulatio...</w:t>
      </w:r>
    </w:p>
    <w:p/>
    <w:p>
      <w:pPr>
        <w:pStyle w:val="Heading1"/>
      </w:pPr>
      <w:r>
        <w:t>Seed World</w:t>
      </w:r>
    </w:p>
    <w:p>
      <w:r>
        <w:rPr>
          <w:b/>
        </w:rPr>
        <w:t xml:space="preserve">Title: </w:t>
      </w:r>
      <w:r>
        <w:t>$40M Investment Expands Agronomy Research Capacity at Oklahoma State</w:t>
      </w:r>
    </w:p>
    <w:p>
      <w:r>
        <w:rPr>
          <w:b/>
        </w:rPr>
        <w:t xml:space="preserve">Date: </w:t>
      </w:r>
      <w:r>
        <w:t>2026-04-27</w:t>
      </w:r>
    </w:p>
    <w:p>
      <w:r>
        <w:rPr>
          <w:b/>
        </w:rPr>
        <w:t xml:space="preserve">URL: </w:t>
      </w:r>
      <w:r>
        <w:rPr>
          <w:color w:val="0000FF"/>
        </w:rPr>
        <w:t>https://www.seedworld.com/us/2026/04/27/40m-investment-expands-agronomy-research-capacity-at-oklahoma-state/</w:t>
      </w:r>
    </w:p>
    <w:p>
      <w:r>
        <w:rPr>
          <w:b/>
        </w:rPr>
        <w:t xml:space="preserve">Excerpt: </w:t>
      </w:r>
      <w:r>
        <w:t>Oklahoma State University will build a new Agronomy Discovery Center following a $40 million state investment, expanding crop research capacity and supporting wheat breeding, soil science and broader agricultural innovation. The post $40M Investment Expands Agronomy Research Capacity at Oklahoma State appeared first on Seed World .</w:t>
      </w:r>
    </w:p>
    <w:p/>
    <w:p>
      <w:pPr>
        <w:pStyle w:val="Heading1"/>
      </w:pPr>
      <w:r>
        <w:t>Krishijagran (Indian Agriculture)</w:t>
      </w:r>
    </w:p>
    <w:p>
      <w:r>
        <w:rPr>
          <w:b/>
        </w:rPr>
        <w:t xml:space="preserve">Title: </w:t>
      </w:r>
      <w:r>
        <w:t>ICAR-IARI Signs MoU with Delhi Metro Rail Corporation for Scientific Green Belt</w:t>
      </w:r>
    </w:p>
    <w:p>
      <w:r>
        <w:rPr>
          <w:b/>
        </w:rPr>
        <w:t xml:space="preserve">Date: </w:t>
      </w:r>
      <w:r>
        <w:t>2026-04-27</w:t>
      </w:r>
    </w:p>
    <w:p>
      <w:r>
        <w:rPr>
          <w:b/>
        </w:rPr>
        <w:t xml:space="preserve">URL: </w:t>
      </w:r>
      <w:r>
        <w:rPr>
          <w:color w:val="0000FF"/>
        </w:rPr>
        <w:t>https://krishijagran.com/news/icar-iari-signs-mou-with-delhi-metro-rail-corporation-for-scientific-green-belt/</w:t>
      </w:r>
    </w:p>
    <w:p>
      <w:r>
        <w:rPr>
          <w:b/>
        </w:rPr>
        <w:t xml:space="preserve">Excerpt: </w:t>
      </w:r>
      <w:r>
        <w:t>In a significant step towards sustainable urban development, ICAR-Indian Agricultural Research Institute (ICAR-IARI), New Delhi and Delhi Metro Rail Corporation (DMRC) have signed a landmark Memorandum of Understanding (MoU) to develop India’s first scientifically designed green belt along the Delhi Metro Yellow Line. The agreement was formalized in the presence of Ch. Srinivas Rao, Director, ICAR...</w:t>
      </w:r>
    </w:p>
    <w:p/>
    <w:p>
      <w:pPr>
        <w:pStyle w:val="Heading1"/>
      </w:pPr>
      <w:r>
        <w:t>AP News Agriculture</w:t>
      </w:r>
    </w:p>
    <w:p>
      <w:r>
        <w:rPr>
          <w:b/>
        </w:rPr>
        <w:t xml:space="preserve">Title: </w:t>
      </w:r>
      <w:r>
        <w:t>Toxic Mud? Hawaii’s North Shore Flooding Likely Diluted Pesticide Risk</w:t>
      </w:r>
    </w:p>
    <w:p>
      <w:r>
        <w:rPr>
          <w:b/>
        </w:rPr>
        <w:t xml:space="preserve">Date: </w:t>
      </w:r>
      <w:r>
        <w:t>2026-04-27</w:t>
      </w:r>
    </w:p>
    <w:p>
      <w:r>
        <w:rPr>
          <w:b/>
        </w:rPr>
        <w:t xml:space="preserve">URL: </w:t>
      </w:r>
      <w:r>
        <w:rPr>
          <w:color w:val="0000FF"/>
        </w:rPr>
        <w:t>https://apnews.com/article/hawaii-floods-pesticides-bacteria-mud-farms-fa65488a2a3ef38fa30efb1422060fc3</w:t>
      </w:r>
    </w:p>
    <w:p/>
    <w:p>
      <w:pPr>
        <w:pStyle w:val="Heading1"/>
      </w:pPr>
      <w:r>
        <w:t>The Conversation — Agriculture</w:t>
      </w:r>
    </w:p>
    <w:p>
      <w:r>
        <w:rPr>
          <w:b/>
        </w:rPr>
        <w:t xml:space="preserve">Title: </w:t>
      </w:r>
      <w:r>
        <w:t>Canada’s Arctic security depends on more than defence — here’s how immigration could help</w:t>
      </w:r>
    </w:p>
    <w:p>
      <w:r>
        <w:rPr>
          <w:b/>
        </w:rPr>
        <w:t xml:space="preserve">Date: </w:t>
      </w:r>
      <w:r>
        <w:t>2026-04-27</w:t>
      </w:r>
    </w:p>
    <w:p>
      <w:r>
        <w:rPr>
          <w:b/>
        </w:rPr>
        <w:t xml:space="preserve">URL: </w:t>
      </w:r>
      <w:r>
        <w:rPr>
          <w:color w:val="0000FF"/>
        </w:rPr>
        <w:t>https://theconversation.com/canadas-arctic-security-depends-on-more-than-defence-heres-how-immigration-could-help-281061</w:t>
      </w:r>
    </w:p>
    <w:p>
      <w:r>
        <w:rPr>
          <w:b/>
        </w:rPr>
        <w:t xml:space="preserve">Excerpt: </w:t>
      </w:r>
      <w:r>
        <w:t>As Arctic competition grows, Canada’s security depends not just on defence, but on migration and retaining people to build resilience in the North.</w:t>
      </w:r>
    </w:p>
    <w:p/>
    <w:p>
      <w:pPr>
        <w:pStyle w:val="Heading1"/>
      </w:pPr>
      <w:r>
        <w:t>Greentech.nl</w:t>
      </w:r>
    </w:p>
    <w:p>
      <w:r>
        <w:rPr>
          <w:b/>
        </w:rPr>
        <w:t xml:space="preserve">Title: </w:t>
      </w:r>
      <w:r>
        <w:t>All eyes on horticulture| GreenTech Americas</w:t>
      </w:r>
    </w:p>
    <w:p>
      <w:r>
        <w:rPr>
          <w:b/>
        </w:rPr>
        <w:t xml:space="preserve">Date: </w:t>
      </w:r>
      <w:r>
        <w:t>2026-04-27</w:t>
      </w:r>
    </w:p>
    <w:p>
      <w:r>
        <w:rPr>
          <w:b/>
        </w:rPr>
        <w:t xml:space="preserve">URL: </w:t>
      </w:r>
      <w:r>
        <w:rPr>
          <w:color w:val="0000FF"/>
        </w:rPr>
        <w:t>https://www.greentech.nl/americas</w:t>
      </w:r>
    </w:p>
    <w:p>
      <w:r>
        <w:rPr>
          <w:b/>
        </w:rPr>
        <w:t xml:space="preserve">Excerpt: </w:t>
      </w:r>
      <w:r>
        <w:t># All eyes on horticulture| GreenTech Americas    GreenTech Americas is the only event specialised in the controlled environment production of high value crops in Latin America. You will find the world's leading suppliers of cutting-edge technologies for the controlled environment horticultural production.     We would like to thank all participants of this year’s event and already look forward to...</w:t>
      </w:r>
    </w:p>
    <w:p/>
    <w:p>
      <w:pPr>
        <w:pStyle w:val="Heading1"/>
      </w:pPr>
      <w:r>
        <w:t>HortiWeek UK</w:t>
      </w:r>
    </w:p>
    <w:p>
      <w:r>
        <w:rPr>
          <w:b/>
        </w:rPr>
        <w:t xml:space="preserve">Title: </w:t>
      </w:r>
      <w:r>
        <w:t>Plant Focus: Liquidambar</w:t>
      </w:r>
    </w:p>
    <w:p>
      <w:r>
        <w:rPr>
          <w:b/>
        </w:rPr>
        <w:t xml:space="preserve">Date: </w:t>
      </w:r>
      <w:r>
        <w:t>2026-04-27</w:t>
      </w:r>
    </w:p>
    <w:p>
      <w:r>
        <w:rPr>
          <w:b/>
        </w:rPr>
        <w:t xml:space="preserve">URL: </w:t>
      </w:r>
      <w:r>
        <w:rPr>
          <w:color w:val="0000FF"/>
        </w:rPr>
        <w:t>https://www.hortweek.com/plant-focus-liquidambar/landscape/article/1953895</w:t>
      </w:r>
    </w:p>
    <w:p/>
    <w:p>
      <w:pPr>
        <w:pStyle w:val="Heading1"/>
      </w:pPr>
      <w:r>
        <w:t>GFActueel.nl</w:t>
      </w:r>
    </w:p>
    <w:p>
      <w:r>
        <w:t>Not yet indexed — source queued for next scrape run.</w:t>
      </w:r>
    </w:p>
    <w:p/>
    <w:p>
      <w:pPr>
        <w:pStyle w:val="Heading1"/>
      </w:pPr>
      <w:r>
        <w:t>MDPI Agronomy</w:t>
      </w:r>
    </w:p>
    <w:p>
      <w:r>
        <w:t>Not yet indexed — source queued for next scrape run.</w:t>
      </w:r>
    </w:p>
    <w:p/>
    <w:p>
      <w:pPr>
        <w:pStyle w:val="Heading1"/>
      </w:pPr>
      <w:r>
        <w:t>GartnerTidende</w:t>
      </w:r>
    </w:p>
    <w:p>
      <w:r>
        <w:t>Not yet indexed — source queued for next scrape run.</w:t>
      </w:r>
    </w:p>
    <w:p/>
    <w:p>
      <w:pPr>
        <w:pStyle w:val="Heading1"/>
      </w:pPr>
      <w:r>
        <w:t>Veggies from Mexico</w:t>
      </w:r>
    </w:p>
    <w:p>
      <w:r>
        <w:t>Not yet indexed — source queued for next scrape run.</w:t>
      </w:r>
    </w:p>
    <w:p/>
    <w:p>
      <w:pPr>
        <w:pStyle w:val="Heading1"/>
      </w:pPr>
      <w:r>
        <w:t>HortiAdvisor</w:t>
      </w:r>
    </w:p>
    <w:p>
      <w:r>
        <w:t>Not yet indexed — source queued for next scrape run.</w:t>
      </w:r>
    </w:p>
    <w:p/>
    <w:p>
      <w:pPr>
        <w:pStyle w:val="Heading1"/>
      </w:pPr>
      <w:r>
        <w:t>Revista Chapingo Horticultura</w:t>
      </w:r>
    </w:p>
    <w:p>
      <w:r>
        <w:t>Not yet indexed — source queued for next scrape run.</w:t>
      </w:r>
    </w:p>
    <w:p/>
    <w:p>
      <w:pPr>
        <w:pStyle w:val="Heading1"/>
      </w:pPr>
      <w:r>
        <w:t>AHS Gardening</w:t>
      </w:r>
    </w:p>
    <w:p>
      <w:r>
        <w:t>Not yet indexed — source queued for next scrape run.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Tomato Intelligence — Source Digest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