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BA1B0C" w:rsidP="00927F2C">
      <w:pPr>
        <w:pStyle w:val="Overskrift1"/>
        <w:jc w:val="center"/>
      </w:pPr>
      <w:r>
        <w:t>Trapez reglen</w:t>
      </w:r>
    </w:p>
    <w:p w:rsidR="00927F2C" w:rsidRDefault="00927F2C" w:rsidP="00927F2C"/>
    <w:p w:rsidR="00DE703E" w:rsidRDefault="00492D67" w:rsidP="00927F2C">
      <w:r>
        <w:t>Som vi har set det med funktioner som skal ap</w:t>
      </w:r>
      <w:r w:rsidR="00862DD1">
        <w:t>p</w:t>
      </w:r>
      <w:r>
        <w:t>roksimeres</w:t>
      </w:r>
      <w:r w:rsidR="005A4791">
        <w:t>, har vi også brug for at tilnærme os differentialer, integraler og optimering af funktioner</w:t>
      </w:r>
      <w:r>
        <w:t>.</w:t>
      </w:r>
      <w:r w:rsidR="005A4791">
        <w:t xml:space="preserve"> </w:t>
      </w:r>
    </w:p>
    <w:p w:rsidR="004C715D" w:rsidRDefault="00DE703E" w:rsidP="00927F2C">
      <w:r>
        <w:t>Disse differentialer og integraler bliver typisk fundet ud fra interpolation.</w:t>
      </w:r>
      <w:r w:rsidR="004B354C">
        <w:t xml:space="preserve"> </w:t>
      </w:r>
      <w:r w:rsidR="004C715D">
        <w:t>Ved bestemte integraler bliver vi som bekendt nødt til at lave en approksimation da disse findes ved hjælp af riemann sum.</w:t>
      </w:r>
    </w:p>
    <w:p w:rsidR="004C715D" w:rsidRDefault="004C715D" w:rsidP="004C715D">
      <w:pPr>
        <w:ind w:firstLine="1304"/>
      </w:pPr>
      <w:r>
        <w:rPr>
          <w:noProof/>
          <w:lang w:eastAsia="da-DK"/>
        </w:rPr>
        <w:drawing>
          <wp:inline distT="0" distB="0" distL="0" distR="0">
            <wp:extent cx="3066056" cy="2552162"/>
            <wp:effectExtent l="19050" t="0" r="994" b="0"/>
            <wp:docPr id="1" name="Billede 1" descr="http://mo.mathematik.uni-stuttgart.de/inhalt/beispiel/beispiel118/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.mathematik.uni-stuttgart.de/inhalt/beispiel/beispiel118/img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626" cy="255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83" w:rsidRDefault="00D02B83" w:rsidP="004C715D">
      <w:r>
        <w:t>Ved numerisk integration definerer vi vores bestemte integral som:</w:t>
      </w:r>
    </w:p>
    <w:p w:rsidR="00480E1A" w:rsidRDefault="00D02B83" w:rsidP="004C715D">
      <w:r>
        <w:tab/>
      </w:r>
      <w:r w:rsidR="004C715D">
        <w:t xml:space="preserve"> </w:t>
      </w:r>
      <w:r w:rsidR="00492D67">
        <w:t xml:space="preserve"> </w:t>
      </w:r>
      <w:r w:rsidR="00B670EF" w:rsidRPr="00D02B83">
        <w:rPr>
          <w:position w:val="-18"/>
        </w:rPr>
        <w:object w:dxaOrig="13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26.3pt" o:ole="">
            <v:imagedata r:id="rId8" o:title=""/>
          </v:shape>
          <o:OLEObject Type="Embed" ProgID="Equation.3" ShapeID="_x0000_i1025" DrawAspect="Content" ObjectID="_1306591094" r:id="rId9"/>
        </w:object>
      </w:r>
    </w:p>
    <w:p w:rsidR="00D02B83" w:rsidRDefault="009B3610" w:rsidP="004C715D">
      <w:r>
        <w:t>Approksimationen skrives som:</w:t>
      </w:r>
    </w:p>
    <w:p w:rsidR="009B3610" w:rsidRDefault="009B3610" w:rsidP="004C715D">
      <w:r>
        <w:tab/>
      </w:r>
      <w:r w:rsidR="00E27254" w:rsidRPr="009B3610">
        <w:rPr>
          <w:position w:val="-28"/>
        </w:rPr>
        <w:object w:dxaOrig="2240" w:dyaOrig="680">
          <v:shape id="_x0000_i1026" type="#_x0000_t75" style="width:112.05pt;height:33.8pt" o:ole="">
            <v:imagedata r:id="rId10" o:title=""/>
          </v:shape>
          <o:OLEObject Type="Embed" ProgID="Equation.3" ShapeID="_x0000_i1026" DrawAspect="Content" ObjectID="_1306591095" r:id="rId11"/>
        </w:object>
      </w:r>
    </w:p>
    <w:p w:rsidR="009B3610" w:rsidRDefault="009B3610" w:rsidP="004C715D">
      <w:r>
        <w:t>Hvor c er en konstant som bestemmer bredden på søjlen underkurven.</w:t>
      </w:r>
    </w:p>
    <w:p w:rsidR="00317D64" w:rsidRDefault="00E27254" w:rsidP="004C715D">
      <w:r>
        <w:t>Vi kan også lave følgende omskrivning:</w:t>
      </w:r>
    </w:p>
    <w:p w:rsidR="00E27254" w:rsidRDefault="00E27254" w:rsidP="004C715D">
      <w:r>
        <w:tab/>
      </w:r>
      <w:r w:rsidR="00A63BC5" w:rsidRPr="00E27254">
        <w:rPr>
          <w:position w:val="-28"/>
        </w:rPr>
        <w:object w:dxaOrig="5280" w:dyaOrig="680">
          <v:shape id="_x0000_i1027" type="#_x0000_t75" style="width:264.2pt;height:33.8pt" o:ole="">
            <v:imagedata r:id="rId12" o:title=""/>
          </v:shape>
          <o:OLEObject Type="Embed" ProgID="Equation.3" ShapeID="_x0000_i1027" DrawAspect="Content" ObjectID="_1306591096" r:id="rId13"/>
        </w:object>
      </w:r>
    </w:p>
    <w:p w:rsidR="00E27254" w:rsidRDefault="00E27254" w:rsidP="004C715D">
      <w:r>
        <w:t xml:space="preserve">Her er </w:t>
      </w:r>
      <w:r w:rsidR="00A63BC5" w:rsidRPr="00E27254">
        <w:rPr>
          <w:position w:val="-12"/>
        </w:rPr>
        <w:object w:dxaOrig="540" w:dyaOrig="360">
          <v:shape id="_x0000_i1028" type="#_x0000_t75" style="width:26.9pt;height:18.15pt" o:ole="">
            <v:imagedata r:id="rId14" o:title=""/>
          </v:shape>
          <o:OLEObject Type="Embed" ProgID="Equation.3" ShapeID="_x0000_i1028" DrawAspect="Content" ObjectID="_1306591097" r:id="rId15"/>
        </w:object>
      </w:r>
      <w:r>
        <w:t xml:space="preserve">Lagranges basis polynomier, som vi tidligere har set på. </w:t>
      </w:r>
      <w:r w:rsidR="00A63BC5">
        <w:t>Vi kan dermed se at:</w:t>
      </w:r>
    </w:p>
    <w:p w:rsidR="00A63BC5" w:rsidRDefault="00A63BC5" w:rsidP="004C715D">
      <w:r>
        <w:tab/>
      </w:r>
      <w:r w:rsidR="00C76A90" w:rsidRPr="00A63BC5">
        <w:rPr>
          <w:position w:val="-18"/>
        </w:rPr>
        <w:object w:dxaOrig="1380" w:dyaOrig="520">
          <v:shape id="_x0000_i1029" type="#_x0000_t75" style="width:68.85pt;height:26.3pt" o:ole="">
            <v:imagedata r:id="rId16" o:title=""/>
          </v:shape>
          <o:OLEObject Type="Embed" ProgID="Equation.3" ShapeID="_x0000_i1029" DrawAspect="Content" ObjectID="_1306591098" r:id="rId17"/>
        </w:object>
      </w:r>
    </w:p>
    <w:p w:rsidR="004A09E3" w:rsidRDefault="003D789B" w:rsidP="004C715D">
      <w:r>
        <w:lastRenderedPageBreak/>
        <w:t>En sådan metode til numerisk integration kaldes en interpolerende kvadraturregel.</w:t>
      </w:r>
    </w:p>
    <w:p w:rsidR="003D789B" w:rsidRDefault="005A3230" w:rsidP="004C715D">
      <w:r>
        <w:t xml:space="preserve">Præcisionsgraden for sådan en interpolerende kvadraturregel siges at være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hvis approksimationen er eksakt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=1,x,…,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men ikke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.</w:t>
      </w:r>
      <w:r w:rsidR="003D789B">
        <w:t xml:space="preserve"> </w:t>
      </w:r>
    </w:p>
    <w:p w:rsidR="004A09E3" w:rsidRDefault="004A09E3" w:rsidP="004C715D">
      <w:pPr>
        <w:rPr>
          <w:b/>
        </w:rPr>
      </w:pPr>
    </w:p>
    <w:p w:rsidR="005D7D75" w:rsidRDefault="005A3230" w:rsidP="005A3230">
      <w:pPr>
        <w:pStyle w:val="Undertitel"/>
      </w:pPr>
      <w:r>
        <w:t>Trapez regel</w:t>
      </w:r>
    </w:p>
    <w:p w:rsidR="003268E7" w:rsidRPr="003268E7" w:rsidRDefault="003268E7" w:rsidP="004C715D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I≈T=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+f(b)</m:t>
              </m:r>
            </m:e>
          </m:d>
        </m:oMath>
      </m:oMathPara>
    </w:p>
    <w:p w:rsidR="003268E7" w:rsidRDefault="003268E7" w:rsidP="003268E7">
      <w:pPr>
        <w:pStyle w:val="Undertitel"/>
      </w:pPr>
      <w:r>
        <w:t>Sammensat trapez regel</w:t>
      </w:r>
    </w:p>
    <w:p w:rsidR="003268E7" w:rsidRPr="003268E7" w:rsidRDefault="003268E7" w:rsidP="003268E7">
      <w:r>
        <w:t xml:space="preserve">Ideen er at dele intervallet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op 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inddelinger og beregne</w:t>
      </w:r>
      <w:r w:rsidR="00495178">
        <w:rPr>
          <w:rFonts w:eastAsiaTheme="minorEastAsia"/>
        </w:rPr>
        <w:t>r</w:t>
      </w:r>
      <w:r>
        <w:rPr>
          <w:rFonts w:eastAsiaTheme="minorEastAsia"/>
        </w:rPr>
        <w:t xml:space="preserve"> integralet for hver enkelt integral ved brug trapez reglen og så summere dem.</w:t>
      </w:r>
      <w:r w:rsidR="00372AFE">
        <w:rPr>
          <w:rFonts w:eastAsiaTheme="minorEastAsia"/>
        </w:rPr>
        <w:br/>
      </w: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  <w:r>
        <w:rPr>
          <w:rFonts w:eastAsiaTheme="minorEastAsia"/>
        </w:rPr>
        <w:br/>
      </w:r>
      <w:r w:rsidR="00372AFE">
        <w:rPr>
          <w:rFonts w:eastAsiaTheme="minorEastAsia"/>
        </w:rPr>
        <w:t>som for trapez reglen bliver</w:t>
      </w:r>
      <w:r w:rsidR="00372AFE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+f(b)</m:t>
                  </m:r>
                </m:e>
              </m:nary>
            </m:e>
          </m:d>
        </m:oMath>
      </m:oMathPara>
      <w:r>
        <w:rPr>
          <w:rFonts w:eastAsiaTheme="minorEastAsia"/>
        </w:rPr>
        <w:br/>
      </w:r>
    </w:p>
    <w:p w:rsidR="0026422D" w:rsidRDefault="00AD3197" w:rsidP="004C715D">
      <w:r>
        <w:t>Fejlvurdering for trapezreglen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 xml:space="preserve">,     ξ ∈(a,b) </m:t>
          </m:r>
        </m:oMath>
      </m:oMathPara>
      <w:r>
        <w:br/>
      </w:r>
      <w:r w:rsidR="0026422D">
        <w:t>Vi kan se at når N fordobles, dvs. 2N, så falder fejlen E</w:t>
      </w:r>
      <w:r w:rsidR="0026422D">
        <w:rPr>
          <w:vertAlign w:val="subscript"/>
        </w:rPr>
        <w:t>N</w:t>
      </w:r>
      <w:r w:rsidR="0026422D">
        <w:t xml:space="preserve"> med en faktor 4, altså:</w:t>
      </w:r>
    </w:p>
    <w:p w:rsidR="0026422D" w:rsidRPr="0026422D" w:rsidRDefault="008435E4" w:rsidP="004C715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(2N)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AD3197" w:rsidRPr="0026422D" w:rsidRDefault="00AD3197" w:rsidP="004C715D">
      <w:pPr>
        <w:rPr>
          <w:lang w:val="en-US"/>
        </w:rPr>
      </w:pPr>
    </w:p>
    <w:sectPr w:rsidR="00AD3197" w:rsidRPr="0026422D" w:rsidSect="00102621"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C91" w:rsidRDefault="006A7C91" w:rsidP="00927F2C">
      <w:pPr>
        <w:spacing w:after="0" w:line="240" w:lineRule="auto"/>
      </w:pPr>
      <w:r>
        <w:separator/>
      </w:r>
    </w:p>
  </w:endnote>
  <w:endnote w:type="continuationSeparator" w:id="0">
    <w:p w:rsidR="006A7C91" w:rsidRDefault="006A7C91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167FF" w:rsidRDefault="008435E4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65700">
            <w:rPr>
              <w:noProof/>
            </w:rPr>
            <w:t>2</w:t>
          </w:r>
        </w:fldSimple>
        <w:r w:rsidR="00B167FF">
          <w:t xml:space="preserve"> | </w:t>
        </w:r>
        <w:r w:rsidR="00B167FF">
          <w:rPr>
            <w:color w:val="7F7F7F" w:themeColor="background1" w:themeShade="7F"/>
            <w:spacing w:val="60"/>
          </w:rPr>
          <w:t>Side</w:t>
        </w:r>
      </w:p>
    </w:sdtContent>
  </w:sdt>
  <w:p w:rsidR="00B167FF" w:rsidRDefault="00B167FF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C91" w:rsidRDefault="006A7C91" w:rsidP="00927F2C">
      <w:pPr>
        <w:spacing w:after="0" w:line="240" w:lineRule="auto"/>
      </w:pPr>
      <w:r>
        <w:separator/>
      </w:r>
    </w:p>
  </w:footnote>
  <w:footnote w:type="continuationSeparator" w:id="0">
    <w:p w:rsidR="006A7C91" w:rsidRDefault="006A7C91" w:rsidP="00927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1304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480E1A"/>
    <w:rsid w:val="000107C1"/>
    <w:rsid w:val="000D2347"/>
    <w:rsid w:val="00102621"/>
    <w:rsid w:val="001C4356"/>
    <w:rsid w:val="001E1933"/>
    <w:rsid w:val="0026422D"/>
    <w:rsid w:val="002B2FE3"/>
    <w:rsid w:val="00317D64"/>
    <w:rsid w:val="003268E7"/>
    <w:rsid w:val="00372AFE"/>
    <w:rsid w:val="00387400"/>
    <w:rsid w:val="003D789B"/>
    <w:rsid w:val="00480D07"/>
    <w:rsid w:val="00480E1A"/>
    <w:rsid w:val="00492D67"/>
    <w:rsid w:val="00495178"/>
    <w:rsid w:val="004A09E3"/>
    <w:rsid w:val="004B354C"/>
    <w:rsid w:val="004C715D"/>
    <w:rsid w:val="004D4CED"/>
    <w:rsid w:val="005A0AB1"/>
    <w:rsid w:val="005A3230"/>
    <w:rsid w:val="005A4791"/>
    <w:rsid w:val="005D7D75"/>
    <w:rsid w:val="0066381A"/>
    <w:rsid w:val="00677F0D"/>
    <w:rsid w:val="006A7C91"/>
    <w:rsid w:val="007B1A31"/>
    <w:rsid w:val="008435E4"/>
    <w:rsid w:val="00862DD1"/>
    <w:rsid w:val="00927F2C"/>
    <w:rsid w:val="00993766"/>
    <w:rsid w:val="009B3610"/>
    <w:rsid w:val="009E4041"/>
    <w:rsid w:val="00A63BC5"/>
    <w:rsid w:val="00A65700"/>
    <w:rsid w:val="00AD3197"/>
    <w:rsid w:val="00AE68F9"/>
    <w:rsid w:val="00AF4001"/>
    <w:rsid w:val="00B167FF"/>
    <w:rsid w:val="00B670EF"/>
    <w:rsid w:val="00BA1B0C"/>
    <w:rsid w:val="00C760FA"/>
    <w:rsid w:val="00C76A90"/>
    <w:rsid w:val="00C81EA2"/>
    <w:rsid w:val="00D020BF"/>
    <w:rsid w:val="00D02B83"/>
    <w:rsid w:val="00DE703E"/>
    <w:rsid w:val="00E10A13"/>
    <w:rsid w:val="00E161D0"/>
    <w:rsid w:val="00E27254"/>
    <w:rsid w:val="00FE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C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C715D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5A3230"/>
    <w:rPr>
      <w:color w:val="80808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32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32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S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D2A3C-6478-410D-8799-C18AFB15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CSB</Template>
  <TotalTime>344</TotalTime>
  <Pages>2</Pages>
  <Words>236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Mads</cp:lastModifiedBy>
  <cp:revision>28</cp:revision>
  <dcterms:created xsi:type="dcterms:W3CDTF">2007-03-25T11:55:00Z</dcterms:created>
  <dcterms:modified xsi:type="dcterms:W3CDTF">2009-06-15T15:10:00Z</dcterms:modified>
</cp:coreProperties>
</file>