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D8FF" w14:textId="77777777" w:rsidR="00D10D43" w:rsidRDefault="00D10D43" w:rsidP="00D10D43">
      <w:pPr>
        <w:pStyle w:val="Title"/>
      </w:pPr>
      <w:proofErr w:type="spellStart"/>
      <w:r>
        <w:t>Soupdog</w:t>
      </w:r>
      <w:proofErr w:type="spellEnd"/>
    </w:p>
    <w:p w14:paraId="5C8F8ADF" w14:textId="77777777" w:rsidR="00D10D43" w:rsidRDefault="00D10D43" w:rsidP="00D10D43">
      <w:pPr>
        <w:spacing w:after="40"/>
      </w:pPr>
      <w:r>
        <w:rPr>
          <w:sz w:val="40"/>
          <w:szCs w:val="40"/>
        </w:rPr>
        <w:t>The Knowledge Core</w:t>
      </w:r>
    </w:p>
    <w:p w14:paraId="09CF7DDB" w14:textId="77777777" w:rsidR="00D10D43" w:rsidRDefault="00D10D43" w:rsidP="00D10D43">
      <w:pPr>
        <w:spacing w:after="40"/>
      </w:pPr>
      <w:r>
        <w:rPr>
          <w:i/>
          <w:iCs/>
          <w:color w:val="6B6860"/>
          <w:sz w:val="24"/>
          <w:szCs w:val="24"/>
        </w:rPr>
        <w:t>Architecture &amp; design for an evidence-graded food-transformation engine</w:t>
      </w:r>
    </w:p>
    <w:p w14:paraId="781C0329" w14:textId="77777777" w:rsidR="00D10D43" w:rsidRDefault="00D10D43" w:rsidP="00D10D43">
      <w:pPr>
        <w:spacing w:after="240"/>
      </w:pPr>
      <w:r>
        <w:rPr>
          <w:color w:val="6B6860"/>
          <w:sz w:val="20"/>
          <w:szCs w:val="20"/>
        </w:rPr>
        <w:t>Design document v0.1 — draft for discussion — 31 May 2026</w:t>
      </w:r>
    </w:p>
    <w:p w14:paraId="65B23C78" w14:textId="77777777" w:rsidR="00D10D43" w:rsidRDefault="00D10D43" w:rsidP="00D10D43">
      <w:pPr>
        <w:pBdr>
          <w:bottom w:val="single" w:sz="6" w:space="1" w:color="2E4638"/>
        </w:pBdr>
        <w:spacing w:after="240"/>
      </w:pPr>
    </w:p>
    <w:p w14:paraId="01C6BC1D" w14:textId="77777777" w:rsidR="00D10D43" w:rsidRDefault="00D10D43" w:rsidP="00D10D43">
      <w:pPr>
        <w:spacing w:after="120" w:line="276" w:lineRule="auto"/>
      </w:pPr>
      <w:r>
        <w:rPr>
          <w:b/>
          <w:bCs/>
        </w:rPr>
        <w:t xml:space="preserve">Status of this document. </w:t>
      </w:r>
      <w:r>
        <w:t>This is a design artifact, not an implementation spec. It captures the model agreed in discussion so it can be challenged, refined, and handed to future collaborators (engineers, chefs, food scientists). Where it references database tables, it assumes the v2 schema names (</w:t>
      </w:r>
      <w:proofErr w:type="spellStart"/>
      <w:r>
        <w:t>execution_variants</w:t>
      </w:r>
      <w:proofErr w:type="spellEnd"/>
      <w:r>
        <w:t xml:space="preserve">, </w:t>
      </w:r>
      <w:proofErr w:type="spellStart"/>
      <w:r>
        <w:t>variant_step_overrides</w:t>
      </w:r>
      <w:proofErr w:type="spellEnd"/>
      <w:r>
        <w:t xml:space="preserve">, </w:t>
      </w:r>
      <w:proofErr w:type="spellStart"/>
      <w:r>
        <w:t>preference_axes</w:t>
      </w:r>
      <w:proofErr w:type="spellEnd"/>
      <w:r>
        <w:t xml:space="preserve">, etc.); these should be verified against the live schema before any build. Nothing here </w:t>
      </w:r>
      <w:proofErr w:type="gramStart"/>
      <w:r>
        <w:t>is</w:t>
      </w:r>
      <w:proofErr w:type="gramEnd"/>
      <w:r>
        <w:t xml:space="preserve"> built yet.</w:t>
      </w:r>
    </w:p>
    <w:p w14:paraId="402B42F5" w14:textId="77777777" w:rsidR="00D10D43" w:rsidRDefault="00D10D43" w:rsidP="00D10D43">
      <w:r>
        <w:br w:type="page"/>
      </w:r>
    </w:p>
    <w:p w14:paraId="56B4811B" w14:textId="77777777" w:rsidR="00D10D43" w:rsidRDefault="00D10D43" w:rsidP="00D10D43">
      <w:pPr>
        <w:pStyle w:val="Heading1"/>
      </w:pPr>
      <w:bookmarkStart w:id="0" w:name="_Toc231159093"/>
      <w:r>
        <w:lastRenderedPageBreak/>
        <w:t>Contents</w:t>
      </w:r>
      <w:bookmarkEnd w:id="0"/>
    </w:p>
    <w:sdt>
      <w:sdtPr>
        <w:alias w:val="Contents"/>
        <w:id w:val="-1364509273"/>
      </w:sdtPr>
      <w:sdtContent>
        <w:p w14:paraId="65C9B9F4"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1159093" w:history="1">
            <w:r w:rsidRPr="00DF6984">
              <w:rPr>
                <w:rStyle w:val="Hyperlink"/>
                <w:noProof/>
              </w:rPr>
              <w:t>Contents</w:t>
            </w:r>
            <w:r>
              <w:rPr>
                <w:noProof/>
              </w:rPr>
              <w:tab/>
            </w:r>
            <w:r>
              <w:rPr>
                <w:noProof/>
              </w:rPr>
              <w:fldChar w:fldCharType="begin"/>
            </w:r>
            <w:r>
              <w:rPr>
                <w:noProof/>
              </w:rPr>
              <w:instrText xml:space="preserve"> PAGEREF _Toc231159093 \h </w:instrText>
            </w:r>
            <w:r>
              <w:rPr>
                <w:noProof/>
              </w:rPr>
            </w:r>
            <w:r>
              <w:rPr>
                <w:noProof/>
              </w:rPr>
              <w:fldChar w:fldCharType="separate"/>
            </w:r>
            <w:r>
              <w:rPr>
                <w:noProof/>
              </w:rPr>
              <w:t>2</w:t>
            </w:r>
            <w:r>
              <w:rPr>
                <w:noProof/>
              </w:rPr>
              <w:fldChar w:fldCharType="end"/>
            </w:r>
          </w:hyperlink>
        </w:p>
        <w:p w14:paraId="06EFBAFB"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094" w:history="1">
            <w:r w:rsidRPr="00DF6984">
              <w:rPr>
                <w:rStyle w:val="Hyperlink"/>
                <w:noProof/>
              </w:rPr>
              <w:t>1. Purpose and framing</w:t>
            </w:r>
            <w:r>
              <w:rPr>
                <w:noProof/>
              </w:rPr>
              <w:tab/>
            </w:r>
            <w:r>
              <w:rPr>
                <w:noProof/>
              </w:rPr>
              <w:fldChar w:fldCharType="begin"/>
            </w:r>
            <w:r>
              <w:rPr>
                <w:noProof/>
              </w:rPr>
              <w:instrText xml:space="preserve"> PAGEREF _Toc231159094 \h </w:instrText>
            </w:r>
            <w:r>
              <w:rPr>
                <w:noProof/>
              </w:rPr>
            </w:r>
            <w:r>
              <w:rPr>
                <w:noProof/>
              </w:rPr>
              <w:fldChar w:fldCharType="separate"/>
            </w:r>
            <w:r>
              <w:rPr>
                <w:noProof/>
              </w:rPr>
              <w:t>3</w:t>
            </w:r>
            <w:r>
              <w:rPr>
                <w:noProof/>
              </w:rPr>
              <w:fldChar w:fldCharType="end"/>
            </w:r>
          </w:hyperlink>
        </w:p>
        <w:p w14:paraId="35E4F3E5"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095" w:history="1">
            <w:r w:rsidRPr="00DF6984">
              <w:rPr>
                <w:rStyle w:val="Hyperlink"/>
                <w:noProof/>
              </w:rPr>
              <w:t>2. Core concepts</w:t>
            </w:r>
            <w:r>
              <w:rPr>
                <w:noProof/>
              </w:rPr>
              <w:tab/>
            </w:r>
            <w:r>
              <w:rPr>
                <w:noProof/>
              </w:rPr>
              <w:fldChar w:fldCharType="begin"/>
            </w:r>
            <w:r>
              <w:rPr>
                <w:noProof/>
              </w:rPr>
              <w:instrText xml:space="preserve"> PAGEREF _Toc231159095 \h </w:instrText>
            </w:r>
            <w:r>
              <w:rPr>
                <w:noProof/>
              </w:rPr>
            </w:r>
            <w:r>
              <w:rPr>
                <w:noProof/>
              </w:rPr>
              <w:fldChar w:fldCharType="separate"/>
            </w:r>
            <w:r>
              <w:rPr>
                <w:noProof/>
              </w:rPr>
              <w:t>3</w:t>
            </w:r>
            <w:r>
              <w:rPr>
                <w:noProof/>
              </w:rPr>
              <w:fldChar w:fldCharType="end"/>
            </w:r>
          </w:hyperlink>
        </w:p>
        <w:p w14:paraId="2B6D6153"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096" w:history="1">
            <w:r w:rsidRPr="00DF6984">
              <w:rPr>
                <w:rStyle w:val="Hyperlink"/>
                <w:noProof/>
              </w:rPr>
              <w:t>2.1 Three layers</w:t>
            </w:r>
            <w:r>
              <w:rPr>
                <w:noProof/>
              </w:rPr>
              <w:tab/>
            </w:r>
            <w:r>
              <w:rPr>
                <w:noProof/>
              </w:rPr>
              <w:fldChar w:fldCharType="begin"/>
            </w:r>
            <w:r>
              <w:rPr>
                <w:noProof/>
              </w:rPr>
              <w:instrText xml:space="preserve"> PAGEREF _Toc231159096 \h </w:instrText>
            </w:r>
            <w:r>
              <w:rPr>
                <w:noProof/>
              </w:rPr>
            </w:r>
            <w:r>
              <w:rPr>
                <w:noProof/>
              </w:rPr>
              <w:fldChar w:fldCharType="separate"/>
            </w:r>
            <w:r>
              <w:rPr>
                <w:noProof/>
              </w:rPr>
              <w:t>3</w:t>
            </w:r>
            <w:r>
              <w:rPr>
                <w:noProof/>
              </w:rPr>
              <w:fldChar w:fldCharType="end"/>
            </w:r>
          </w:hyperlink>
        </w:p>
        <w:p w14:paraId="1E3B6B6C"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097" w:history="1">
            <w:r w:rsidRPr="00DF6984">
              <w:rPr>
                <w:rStyle w:val="Hyperlink"/>
                <w:noProof/>
              </w:rPr>
              <w:t>2.2 Pre-compute and navigate</w:t>
            </w:r>
            <w:r>
              <w:rPr>
                <w:noProof/>
              </w:rPr>
              <w:tab/>
            </w:r>
            <w:r>
              <w:rPr>
                <w:noProof/>
              </w:rPr>
              <w:fldChar w:fldCharType="begin"/>
            </w:r>
            <w:r>
              <w:rPr>
                <w:noProof/>
              </w:rPr>
              <w:instrText xml:space="preserve"> PAGEREF _Toc231159097 \h </w:instrText>
            </w:r>
            <w:r>
              <w:rPr>
                <w:noProof/>
              </w:rPr>
            </w:r>
            <w:r>
              <w:rPr>
                <w:noProof/>
              </w:rPr>
              <w:fldChar w:fldCharType="separate"/>
            </w:r>
            <w:r>
              <w:rPr>
                <w:noProof/>
              </w:rPr>
              <w:t>4</w:t>
            </w:r>
            <w:r>
              <w:rPr>
                <w:noProof/>
              </w:rPr>
              <w:fldChar w:fldCharType="end"/>
            </w:r>
          </w:hyperlink>
        </w:p>
        <w:p w14:paraId="6894BF89"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098" w:history="1">
            <w:r w:rsidRPr="00DF6984">
              <w:rPr>
                <w:rStyle w:val="Hyperlink"/>
                <w:noProof/>
              </w:rPr>
              <w:t>2.3 Servings: parameter below a breakpoint, variant above it</w:t>
            </w:r>
            <w:r>
              <w:rPr>
                <w:noProof/>
              </w:rPr>
              <w:tab/>
            </w:r>
            <w:r>
              <w:rPr>
                <w:noProof/>
              </w:rPr>
              <w:fldChar w:fldCharType="begin"/>
            </w:r>
            <w:r>
              <w:rPr>
                <w:noProof/>
              </w:rPr>
              <w:instrText xml:space="preserve"> PAGEREF _Toc231159098 \h </w:instrText>
            </w:r>
            <w:r>
              <w:rPr>
                <w:noProof/>
              </w:rPr>
            </w:r>
            <w:r>
              <w:rPr>
                <w:noProof/>
              </w:rPr>
              <w:fldChar w:fldCharType="separate"/>
            </w:r>
            <w:r>
              <w:rPr>
                <w:noProof/>
              </w:rPr>
              <w:t>4</w:t>
            </w:r>
            <w:r>
              <w:rPr>
                <w:noProof/>
              </w:rPr>
              <w:fldChar w:fldCharType="end"/>
            </w:r>
          </w:hyperlink>
        </w:p>
        <w:p w14:paraId="2D84D88A"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099" w:history="1">
            <w:r w:rsidRPr="00DF6984">
              <w:rPr>
                <w:rStyle w:val="Hyperlink"/>
                <w:noProof/>
              </w:rPr>
              <w:t>3. Provenance and confidence: how the Core grows</w:t>
            </w:r>
            <w:r>
              <w:rPr>
                <w:noProof/>
              </w:rPr>
              <w:tab/>
            </w:r>
            <w:r>
              <w:rPr>
                <w:noProof/>
              </w:rPr>
              <w:fldChar w:fldCharType="begin"/>
            </w:r>
            <w:r>
              <w:rPr>
                <w:noProof/>
              </w:rPr>
              <w:instrText xml:space="preserve"> PAGEREF _Toc231159099 \h </w:instrText>
            </w:r>
            <w:r>
              <w:rPr>
                <w:noProof/>
              </w:rPr>
            </w:r>
            <w:r>
              <w:rPr>
                <w:noProof/>
              </w:rPr>
              <w:fldChar w:fldCharType="separate"/>
            </w:r>
            <w:r>
              <w:rPr>
                <w:noProof/>
              </w:rPr>
              <w:t>4</w:t>
            </w:r>
            <w:r>
              <w:rPr>
                <w:noProof/>
              </w:rPr>
              <w:fldChar w:fldCharType="end"/>
            </w:r>
          </w:hyperlink>
        </w:p>
        <w:p w14:paraId="5C7403F1"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0" w:history="1">
            <w:r w:rsidRPr="00DF6984">
              <w:rPr>
                <w:rStyle w:val="Hyperlink"/>
                <w:noProof/>
              </w:rPr>
              <w:t>3.1 The evidence hierarchy</w:t>
            </w:r>
            <w:r>
              <w:rPr>
                <w:noProof/>
              </w:rPr>
              <w:tab/>
            </w:r>
            <w:r>
              <w:rPr>
                <w:noProof/>
              </w:rPr>
              <w:fldChar w:fldCharType="begin"/>
            </w:r>
            <w:r>
              <w:rPr>
                <w:noProof/>
              </w:rPr>
              <w:instrText xml:space="preserve"> PAGEREF _Toc231159100 \h </w:instrText>
            </w:r>
            <w:r>
              <w:rPr>
                <w:noProof/>
              </w:rPr>
            </w:r>
            <w:r>
              <w:rPr>
                <w:noProof/>
              </w:rPr>
              <w:fldChar w:fldCharType="separate"/>
            </w:r>
            <w:r>
              <w:rPr>
                <w:noProof/>
              </w:rPr>
              <w:t>5</w:t>
            </w:r>
            <w:r>
              <w:rPr>
                <w:noProof/>
              </w:rPr>
              <w:fldChar w:fldCharType="end"/>
            </w:r>
          </w:hyperlink>
        </w:p>
        <w:p w14:paraId="69C81E46"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1" w:history="1">
            <w:r w:rsidRPr="00DF6984">
              <w:rPr>
                <w:rStyle w:val="Hyperlink"/>
                <w:noProof/>
              </w:rPr>
              <w:t>3.2 Why this scheme pays off</w:t>
            </w:r>
            <w:r>
              <w:rPr>
                <w:noProof/>
              </w:rPr>
              <w:tab/>
            </w:r>
            <w:r>
              <w:rPr>
                <w:noProof/>
              </w:rPr>
              <w:fldChar w:fldCharType="begin"/>
            </w:r>
            <w:r>
              <w:rPr>
                <w:noProof/>
              </w:rPr>
              <w:instrText xml:space="preserve"> PAGEREF _Toc231159101 \h </w:instrText>
            </w:r>
            <w:r>
              <w:rPr>
                <w:noProof/>
              </w:rPr>
            </w:r>
            <w:r>
              <w:rPr>
                <w:noProof/>
              </w:rPr>
              <w:fldChar w:fldCharType="separate"/>
            </w:r>
            <w:r>
              <w:rPr>
                <w:noProof/>
              </w:rPr>
              <w:t>5</w:t>
            </w:r>
            <w:r>
              <w:rPr>
                <w:noProof/>
              </w:rPr>
              <w:fldChar w:fldCharType="end"/>
            </w:r>
          </w:hyperlink>
        </w:p>
        <w:p w14:paraId="3D3E4895"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2" w:history="1">
            <w:r w:rsidRPr="00DF6984">
              <w:rPr>
                <w:rStyle w:val="Hyperlink"/>
                <w:noProof/>
              </w:rPr>
              <w:t>4. Worked example: red-meat doneness and cut families</w:t>
            </w:r>
            <w:r>
              <w:rPr>
                <w:noProof/>
              </w:rPr>
              <w:tab/>
            </w:r>
            <w:r>
              <w:rPr>
                <w:noProof/>
              </w:rPr>
              <w:fldChar w:fldCharType="begin"/>
            </w:r>
            <w:r>
              <w:rPr>
                <w:noProof/>
              </w:rPr>
              <w:instrText xml:space="preserve"> PAGEREF _Toc231159102 \h </w:instrText>
            </w:r>
            <w:r>
              <w:rPr>
                <w:noProof/>
              </w:rPr>
            </w:r>
            <w:r>
              <w:rPr>
                <w:noProof/>
              </w:rPr>
              <w:fldChar w:fldCharType="separate"/>
            </w:r>
            <w:r>
              <w:rPr>
                <w:noProof/>
              </w:rPr>
              <w:t>5</w:t>
            </w:r>
            <w:r>
              <w:rPr>
                <w:noProof/>
              </w:rPr>
              <w:fldChar w:fldCharType="end"/>
            </w:r>
          </w:hyperlink>
        </w:p>
        <w:p w14:paraId="19735E36"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3" w:history="1">
            <w:r w:rsidRPr="00DF6984">
              <w:rPr>
                <w:rStyle w:val="Hyperlink"/>
                <w:noProof/>
              </w:rPr>
              <w:t>4.1 The science, as rules</w:t>
            </w:r>
            <w:r>
              <w:rPr>
                <w:noProof/>
              </w:rPr>
              <w:tab/>
            </w:r>
            <w:r>
              <w:rPr>
                <w:noProof/>
              </w:rPr>
              <w:fldChar w:fldCharType="begin"/>
            </w:r>
            <w:r>
              <w:rPr>
                <w:noProof/>
              </w:rPr>
              <w:instrText xml:space="preserve"> PAGEREF _Toc231159103 \h </w:instrText>
            </w:r>
            <w:r>
              <w:rPr>
                <w:noProof/>
              </w:rPr>
            </w:r>
            <w:r>
              <w:rPr>
                <w:noProof/>
              </w:rPr>
              <w:fldChar w:fldCharType="separate"/>
            </w:r>
            <w:r>
              <w:rPr>
                <w:noProof/>
              </w:rPr>
              <w:t>6</w:t>
            </w:r>
            <w:r>
              <w:rPr>
                <w:noProof/>
              </w:rPr>
              <w:fldChar w:fldCharType="end"/>
            </w:r>
          </w:hyperlink>
        </w:p>
        <w:p w14:paraId="79F20E89"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4" w:history="1">
            <w:r w:rsidRPr="00DF6984">
              <w:rPr>
                <w:rStyle w:val="Hyperlink"/>
                <w:noProof/>
              </w:rPr>
              <w:t>4.2 Cut families (strawman)</w:t>
            </w:r>
            <w:r>
              <w:rPr>
                <w:noProof/>
              </w:rPr>
              <w:tab/>
            </w:r>
            <w:r>
              <w:rPr>
                <w:noProof/>
              </w:rPr>
              <w:fldChar w:fldCharType="begin"/>
            </w:r>
            <w:r>
              <w:rPr>
                <w:noProof/>
              </w:rPr>
              <w:instrText xml:space="preserve"> PAGEREF _Toc231159104 \h </w:instrText>
            </w:r>
            <w:r>
              <w:rPr>
                <w:noProof/>
              </w:rPr>
            </w:r>
            <w:r>
              <w:rPr>
                <w:noProof/>
              </w:rPr>
              <w:fldChar w:fldCharType="separate"/>
            </w:r>
            <w:r>
              <w:rPr>
                <w:noProof/>
              </w:rPr>
              <w:t>6</w:t>
            </w:r>
            <w:r>
              <w:rPr>
                <w:noProof/>
              </w:rPr>
              <w:fldChar w:fldCharType="end"/>
            </w:r>
          </w:hyperlink>
        </w:p>
        <w:p w14:paraId="5624A491"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5" w:history="1">
            <w:r w:rsidRPr="00DF6984">
              <w:rPr>
                <w:rStyle w:val="Hyperlink"/>
                <w:noProof/>
              </w:rPr>
              <w:t>4.3 Suggested sources to mine</w:t>
            </w:r>
            <w:r>
              <w:rPr>
                <w:noProof/>
              </w:rPr>
              <w:tab/>
            </w:r>
            <w:r>
              <w:rPr>
                <w:noProof/>
              </w:rPr>
              <w:fldChar w:fldCharType="begin"/>
            </w:r>
            <w:r>
              <w:rPr>
                <w:noProof/>
              </w:rPr>
              <w:instrText xml:space="preserve"> PAGEREF _Toc231159105 \h </w:instrText>
            </w:r>
            <w:r>
              <w:rPr>
                <w:noProof/>
              </w:rPr>
            </w:r>
            <w:r>
              <w:rPr>
                <w:noProof/>
              </w:rPr>
              <w:fldChar w:fldCharType="separate"/>
            </w:r>
            <w:r>
              <w:rPr>
                <w:noProof/>
              </w:rPr>
              <w:t>7</w:t>
            </w:r>
            <w:r>
              <w:rPr>
                <w:noProof/>
              </w:rPr>
              <w:fldChar w:fldCharType="end"/>
            </w:r>
          </w:hyperlink>
        </w:p>
        <w:p w14:paraId="56CA1FD2"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6" w:history="1">
            <w:r w:rsidRPr="00DF6984">
              <w:rPr>
                <w:rStyle w:val="Hyperlink"/>
                <w:noProof/>
              </w:rPr>
              <w:t>5. Feedback and scoring loop</w:t>
            </w:r>
            <w:r>
              <w:rPr>
                <w:noProof/>
              </w:rPr>
              <w:tab/>
            </w:r>
            <w:r>
              <w:rPr>
                <w:noProof/>
              </w:rPr>
              <w:fldChar w:fldCharType="begin"/>
            </w:r>
            <w:r>
              <w:rPr>
                <w:noProof/>
              </w:rPr>
              <w:instrText xml:space="preserve"> PAGEREF _Toc231159106 \h </w:instrText>
            </w:r>
            <w:r>
              <w:rPr>
                <w:noProof/>
              </w:rPr>
            </w:r>
            <w:r>
              <w:rPr>
                <w:noProof/>
              </w:rPr>
              <w:fldChar w:fldCharType="separate"/>
            </w:r>
            <w:r>
              <w:rPr>
                <w:noProof/>
              </w:rPr>
              <w:t>7</w:t>
            </w:r>
            <w:r>
              <w:rPr>
                <w:noProof/>
              </w:rPr>
              <w:fldChar w:fldCharType="end"/>
            </w:r>
          </w:hyperlink>
        </w:p>
        <w:p w14:paraId="2333B0A1"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7" w:history="1">
            <w:r w:rsidRPr="00DF6984">
              <w:rPr>
                <w:rStyle w:val="Hyperlink"/>
                <w:noProof/>
              </w:rPr>
              <w:t>5.1 How knowledge flows in</w:t>
            </w:r>
            <w:r>
              <w:rPr>
                <w:noProof/>
              </w:rPr>
              <w:tab/>
            </w:r>
            <w:r>
              <w:rPr>
                <w:noProof/>
              </w:rPr>
              <w:fldChar w:fldCharType="begin"/>
            </w:r>
            <w:r>
              <w:rPr>
                <w:noProof/>
              </w:rPr>
              <w:instrText xml:space="preserve"> PAGEREF _Toc231159107 \h </w:instrText>
            </w:r>
            <w:r>
              <w:rPr>
                <w:noProof/>
              </w:rPr>
            </w:r>
            <w:r>
              <w:rPr>
                <w:noProof/>
              </w:rPr>
              <w:fldChar w:fldCharType="separate"/>
            </w:r>
            <w:r>
              <w:rPr>
                <w:noProof/>
              </w:rPr>
              <w:t>7</w:t>
            </w:r>
            <w:r>
              <w:rPr>
                <w:noProof/>
              </w:rPr>
              <w:fldChar w:fldCharType="end"/>
            </w:r>
          </w:hyperlink>
        </w:p>
        <w:p w14:paraId="110BD533" w14:textId="77777777" w:rsidR="00D10D43" w:rsidRDefault="00D10D43" w:rsidP="00D10D4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8" w:history="1">
            <w:r w:rsidRPr="00DF6984">
              <w:rPr>
                <w:rStyle w:val="Hyperlink"/>
                <w:noProof/>
              </w:rPr>
              <w:t>5.2 Scoring — measure coverage and confidence, not a single “greatness” number</w:t>
            </w:r>
            <w:r>
              <w:rPr>
                <w:noProof/>
              </w:rPr>
              <w:tab/>
            </w:r>
            <w:r>
              <w:rPr>
                <w:noProof/>
              </w:rPr>
              <w:fldChar w:fldCharType="begin"/>
            </w:r>
            <w:r>
              <w:rPr>
                <w:noProof/>
              </w:rPr>
              <w:instrText xml:space="preserve"> PAGEREF _Toc231159108 \h </w:instrText>
            </w:r>
            <w:r>
              <w:rPr>
                <w:noProof/>
              </w:rPr>
            </w:r>
            <w:r>
              <w:rPr>
                <w:noProof/>
              </w:rPr>
              <w:fldChar w:fldCharType="separate"/>
            </w:r>
            <w:r>
              <w:rPr>
                <w:noProof/>
              </w:rPr>
              <w:t>7</w:t>
            </w:r>
            <w:r>
              <w:rPr>
                <w:noProof/>
              </w:rPr>
              <w:fldChar w:fldCharType="end"/>
            </w:r>
          </w:hyperlink>
        </w:p>
        <w:p w14:paraId="0DFECEA9"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09" w:history="1">
            <w:r w:rsidRPr="00DF6984">
              <w:rPr>
                <w:rStyle w:val="Hyperlink"/>
                <w:noProof/>
              </w:rPr>
              <w:t>6. Staged build plan</w:t>
            </w:r>
            <w:r>
              <w:rPr>
                <w:noProof/>
              </w:rPr>
              <w:tab/>
            </w:r>
            <w:r>
              <w:rPr>
                <w:noProof/>
              </w:rPr>
              <w:fldChar w:fldCharType="begin"/>
            </w:r>
            <w:r>
              <w:rPr>
                <w:noProof/>
              </w:rPr>
              <w:instrText xml:space="preserve"> PAGEREF _Toc231159109 \h </w:instrText>
            </w:r>
            <w:r>
              <w:rPr>
                <w:noProof/>
              </w:rPr>
            </w:r>
            <w:r>
              <w:rPr>
                <w:noProof/>
              </w:rPr>
              <w:fldChar w:fldCharType="separate"/>
            </w:r>
            <w:r>
              <w:rPr>
                <w:noProof/>
              </w:rPr>
              <w:t>7</w:t>
            </w:r>
            <w:r>
              <w:rPr>
                <w:noProof/>
              </w:rPr>
              <w:fldChar w:fldCharType="end"/>
            </w:r>
          </w:hyperlink>
        </w:p>
        <w:p w14:paraId="034AE7AA" w14:textId="77777777" w:rsidR="00D10D43" w:rsidRDefault="00D10D43" w:rsidP="00D10D4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159110" w:history="1">
            <w:r w:rsidRPr="00DF6984">
              <w:rPr>
                <w:rStyle w:val="Hyperlink"/>
                <w:noProof/>
              </w:rPr>
              <w:t>7. Open questions to resolve</w:t>
            </w:r>
            <w:r>
              <w:rPr>
                <w:noProof/>
              </w:rPr>
              <w:tab/>
            </w:r>
            <w:r>
              <w:rPr>
                <w:noProof/>
              </w:rPr>
              <w:fldChar w:fldCharType="begin"/>
            </w:r>
            <w:r>
              <w:rPr>
                <w:noProof/>
              </w:rPr>
              <w:instrText xml:space="preserve"> PAGEREF _Toc231159110 \h </w:instrText>
            </w:r>
            <w:r>
              <w:rPr>
                <w:noProof/>
              </w:rPr>
            </w:r>
            <w:r>
              <w:rPr>
                <w:noProof/>
              </w:rPr>
              <w:fldChar w:fldCharType="separate"/>
            </w:r>
            <w:r>
              <w:rPr>
                <w:noProof/>
              </w:rPr>
              <w:t>8</w:t>
            </w:r>
            <w:r>
              <w:rPr>
                <w:noProof/>
              </w:rPr>
              <w:fldChar w:fldCharType="end"/>
            </w:r>
          </w:hyperlink>
        </w:p>
        <w:p w14:paraId="6BA6160F" w14:textId="77777777" w:rsidR="00D10D43" w:rsidRDefault="00D10D43" w:rsidP="00D10D43">
          <w:r>
            <w:fldChar w:fldCharType="end"/>
          </w:r>
        </w:p>
      </w:sdtContent>
    </w:sdt>
    <w:p w14:paraId="5DA92B38" w14:textId="77777777" w:rsidR="00D10D43" w:rsidRDefault="00D10D43" w:rsidP="00D10D43">
      <w:r>
        <w:br w:type="page"/>
      </w:r>
    </w:p>
    <w:p w14:paraId="3DEBF828" w14:textId="77777777" w:rsidR="00D10D43" w:rsidRDefault="00D10D43" w:rsidP="00D10D43">
      <w:pPr>
        <w:pStyle w:val="Heading1"/>
      </w:pPr>
      <w:bookmarkStart w:id="1" w:name="_Toc231159094"/>
      <w:r>
        <w:lastRenderedPageBreak/>
        <w:t>1. Purpose and framing</w:t>
      </w:r>
      <w:bookmarkEnd w:id="1"/>
    </w:p>
    <w:p w14:paraId="209BF731" w14:textId="77777777" w:rsidR="00D10D43" w:rsidRDefault="00D10D43" w:rsidP="00D10D43">
      <w:pPr>
        <w:spacing w:after="120" w:line="276" w:lineRule="auto"/>
      </w:pPr>
      <w:proofErr w:type="spellStart"/>
      <w:r>
        <w:t>Soupdog</w:t>
      </w:r>
      <w:proofErr w:type="spellEnd"/>
      <w:r>
        <w:t xml:space="preserve"> is not a recipe website; it is a food-execution platform. The Knowledge Core is the part of that platform that makes execution intelligent: a structured, evidence-graded body of knowledge about how food transforms — how it scales, how cooking method changes with quantity, how doneness maps to temperature, how one cut of meat relates to another — that the rest of the system reasons over.</w:t>
      </w:r>
    </w:p>
    <w:p w14:paraId="1A66D26B" w14:textId="77777777" w:rsidR="00D10D43" w:rsidRDefault="00D10D43" w:rsidP="00D10D43">
      <w:pPr>
        <w:spacing w:after="120" w:line="276" w:lineRule="auto"/>
      </w:pPr>
      <w:r>
        <w:t xml:space="preserve">The central principle, restated for this engine: </w:t>
      </w:r>
      <w:r>
        <w:rPr>
          <w:b/>
          <w:bCs/>
        </w:rPr>
        <w:t xml:space="preserve">intelligence is captured as reusable structured knowledge, </w:t>
      </w:r>
      <w:proofErr w:type="gramStart"/>
      <w:r>
        <w:rPr>
          <w:b/>
          <w:bCs/>
        </w:rPr>
        <w:t>not spent</w:t>
      </w:r>
      <w:proofErr w:type="gramEnd"/>
      <w:r>
        <w:rPr>
          <w:b/>
          <w:bCs/>
        </w:rPr>
        <w:t xml:space="preserve"> per request.</w:t>
      </w:r>
    </w:p>
    <w:p w14:paraId="75A30E83" w14:textId="77777777" w:rsidR="00D10D43" w:rsidRDefault="00D10D43" w:rsidP="00D10D43">
      <w:pPr>
        <w:spacing w:after="200" w:line="276" w:lineRule="auto"/>
      </w:pPr>
      <w:r>
        <w:t>A frontier model is used rarely and expensively to derive rules and relationships. Those rules are stored as data — the Core. A cheap process (server logic, simple algorithms, or a small/local model for edge cases) applies the Core to thousands of recipes. We pay for reasoning once, at the level of principles, and amortize it across all execution. The AI builds the library; the library runs the platform.</w:t>
      </w:r>
    </w:p>
    <w:p w14:paraId="0B70A7E9" w14:textId="77777777" w:rsidR="00D10D43" w:rsidRDefault="00D10D43" w:rsidP="00D10D43">
      <w:pPr>
        <w:spacing w:after="120" w:line="276" w:lineRule="auto"/>
      </w:pPr>
      <w:r>
        <w:rPr>
          <w:b/>
          <w:bCs/>
        </w:rPr>
        <w:t xml:space="preserve">This document defines: </w:t>
      </w:r>
    </w:p>
    <w:p w14:paraId="7BE653E8" w14:textId="77777777" w:rsidR="00D10D43" w:rsidRDefault="00D10D43" w:rsidP="00D10D43">
      <w:pPr>
        <w:pStyle w:val="ListParagraph"/>
        <w:numPr>
          <w:ilvl w:val="0"/>
          <w:numId w:val="2"/>
        </w:numPr>
        <w:spacing w:after="80" w:line="276" w:lineRule="auto"/>
        <w:contextualSpacing w:val="0"/>
      </w:pPr>
      <w:r>
        <w:t>the layered architecture (rules → applier → variants);</w:t>
      </w:r>
    </w:p>
    <w:p w14:paraId="4E2DE94F" w14:textId="77777777" w:rsidR="00D10D43" w:rsidRDefault="00D10D43" w:rsidP="00D10D43">
      <w:pPr>
        <w:pStyle w:val="ListParagraph"/>
        <w:numPr>
          <w:ilvl w:val="0"/>
          <w:numId w:val="2"/>
        </w:numPr>
        <w:spacing w:after="80" w:line="276" w:lineRule="auto"/>
        <w:contextualSpacing w:val="0"/>
      </w:pPr>
      <w:r>
        <w:t>the provenance-and-confidence model that lets the Core grow with evidence;</w:t>
      </w:r>
    </w:p>
    <w:p w14:paraId="525C699E" w14:textId="77777777" w:rsidR="00D10D43" w:rsidRDefault="00D10D43" w:rsidP="00D10D43">
      <w:pPr>
        <w:pStyle w:val="ListParagraph"/>
        <w:numPr>
          <w:ilvl w:val="0"/>
          <w:numId w:val="2"/>
        </w:numPr>
        <w:spacing w:after="80" w:line="276" w:lineRule="auto"/>
        <w:contextualSpacing w:val="0"/>
      </w:pPr>
      <w:r>
        <w:t>a first worked example — red-meat doneness and cut families;</w:t>
      </w:r>
    </w:p>
    <w:p w14:paraId="3E4CBE25" w14:textId="77777777" w:rsidR="00D10D43" w:rsidRDefault="00D10D43" w:rsidP="00D10D43">
      <w:pPr>
        <w:pStyle w:val="ListParagraph"/>
        <w:numPr>
          <w:ilvl w:val="0"/>
          <w:numId w:val="2"/>
        </w:numPr>
        <w:spacing w:after="80" w:line="276" w:lineRule="auto"/>
        <w:contextualSpacing w:val="0"/>
      </w:pPr>
      <w:r>
        <w:t>how servings scaling works, including the method-breakpoint insight;</w:t>
      </w:r>
    </w:p>
    <w:p w14:paraId="212772ED" w14:textId="77777777" w:rsidR="00D10D43" w:rsidRDefault="00D10D43" w:rsidP="00D10D43">
      <w:pPr>
        <w:pStyle w:val="ListParagraph"/>
        <w:numPr>
          <w:ilvl w:val="0"/>
          <w:numId w:val="2"/>
        </w:numPr>
        <w:spacing w:after="80" w:line="276" w:lineRule="auto"/>
        <w:contextualSpacing w:val="0"/>
      </w:pPr>
      <w:r>
        <w:t>the feedback and scoring loop; and</w:t>
      </w:r>
    </w:p>
    <w:p w14:paraId="0170ADA4" w14:textId="77777777" w:rsidR="00D10D43" w:rsidRDefault="00D10D43" w:rsidP="00D10D43">
      <w:pPr>
        <w:pStyle w:val="ListParagraph"/>
        <w:numPr>
          <w:ilvl w:val="0"/>
          <w:numId w:val="2"/>
        </w:numPr>
        <w:spacing w:after="80" w:line="276" w:lineRule="auto"/>
        <w:contextualSpacing w:val="0"/>
      </w:pPr>
      <w:r>
        <w:t>a staged build plan that ships value early and de-risks each step.</w:t>
      </w:r>
    </w:p>
    <w:p w14:paraId="5AC22140" w14:textId="77777777" w:rsidR="00D10D43" w:rsidRDefault="00D10D43" w:rsidP="00D10D43">
      <w:pPr>
        <w:pStyle w:val="Heading1"/>
      </w:pPr>
      <w:bookmarkStart w:id="2" w:name="_Toc231159095"/>
      <w:r>
        <w:t>2. Core concepts</w:t>
      </w:r>
      <w:bookmarkEnd w:id="2"/>
    </w:p>
    <w:p w14:paraId="648288B0" w14:textId="77777777" w:rsidR="00D10D43" w:rsidRDefault="00D10D43" w:rsidP="00D10D43">
      <w:pPr>
        <w:pStyle w:val="Heading2"/>
      </w:pPr>
      <w:bookmarkStart w:id="3" w:name="_Toc231159096"/>
      <w:r>
        <w:t>2.1 Three layers</w:t>
      </w:r>
      <w:bookmarkEnd w:id="3"/>
    </w:p>
    <w:p w14:paraId="7EC2B794" w14:textId="77777777" w:rsidR="00D10D43" w:rsidRDefault="00D10D43" w:rsidP="00D10D43">
      <w:pPr>
        <w:spacing w:after="120" w:line="276" w:lineRule="auto"/>
      </w:pPr>
      <w:r>
        <w:t>The engine is three layers. Keeping them separate is what keeps cost and complexity under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60"/>
        <w:gridCol w:w="3100"/>
      </w:tblGrid>
      <w:tr w:rsidR="00D10D43" w14:paraId="27CCAD6F" w14:textId="77777777" w:rsidTr="00541794">
        <w:tblPrEx>
          <w:tblCellMar>
            <w:top w:w="0" w:type="dxa"/>
            <w:bottom w:w="0" w:type="dxa"/>
          </w:tblCellMar>
        </w:tblPrEx>
        <w:trPr>
          <w:tblHeader/>
        </w:trPr>
        <w:tc>
          <w:tcPr>
            <w:tcW w:w="19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0F099B56" w14:textId="77777777" w:rsidR="00D10D43" w:rsidRDefault="00D10D43" w:rsidP="00541794">
            <w:r>
              <w:rPr>
                <w:b/>
                <w:bCs/>
                <w:color w:val="FFFFFF"/>
                <w:sz w:val="20"/>
                <w:szCs w:val="20"/>
              </w:rPr>
              <w:t>Layer</w:t>
            </w:r>
          </w:p>
        </w:tc>
        <w:tc>
          <w:tcPr>
            <w:tcW w:w="43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7E98DB60" w14:textId="77777777" w:rsidR="00D10D43" w:rsidRDefault="00D10D43" w:rsidP="00541794">
            <w:r>
              <w:rPr>
                <w:b/>
                <w:bCs/>
                <w:color w:val="FFFFFF"/>
                <w:sz w:val="20"/>
                <w:szCs w:val="20"/>
              </w:rPr>
              <w:t>What it is</w:t>
            </w:r>
          </w:p>
        </w:tc>
        <w:tc>
          <w:tcPr>
            <w:tcW w:w="31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4924E75D" w14:textId="77777777" w:rsidR="00D10D43" w:rsidRDefault="00D10D43" w:rsidP="00541794">
            <w:r>
              <w:rPr>
                <w:b/>
                <w:bCs/>
                <w:color w:val="FFFFFF"/>
                <w:sz w:val="20"/>
                <w:szCs w:val="20"/>
              </w:rPr>
              <w:t>Cost profile</w:t>
            </w:r>
          </w:p>
        </w:tc>
      </w:tr>
      <w:tr w:rsidR="00D10D43" w14:paraId="62D241C5" w14:textId="77777777" w:rsidTr="00541794">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2263C36" w14:textId="77777777" w:rsidR="00D10D43" w:rsidRDefault="00D10D43" w:rsidP="00541794">
            <w:r>
              <w:rPr>
                <w:sz w:val="20"/>
                <w:szCs w:val="20"/>
              </w:rPr>
              <w:t>Rule library</w:t>
            </w:r>
          </w:p>
        </w:tc>
        <w:tc>
          <w:tcPr>
            <w:tcW w:w="4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FE0C8FF" w14:textId="77777777" w:rsidR="00D10D43" w:rsidRDefault="00D10D43" w:rsidP="00541794">
            <w:r>
              <w:rPr>
                <w:sz w:val="20"/>
                <w:szCs w:val="20"/>
              </w:rPr>
              <w:t>Structured food knowledge: doneness rules, cut families, scaling laws, method breakpoints. The asset. The moat.</w:t>
            </w:r>
          </w:p>
        </w:tc>
        <w:tc>
          <w:tcPr>
            <w:tcW w:w="31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D8BAF56" w14:textId="77777777" w:rsidR="00D10D43" w:rsidRDefault="00D10D43" w:rsidP="00541794">
            <w:r>
              <w:rPr>
                <w:sz w:val="20"/>
                <w:szCs w:val="20"/>
              </w:rPr>
              <w:t>Expensive to create (frontier AI + expert review), cheap to store, created rarely.</w:t>
            </w:r>
          </w:p>
        </w:tc>
      </w:tr>
      <w:tr w:rsidR="00D10D43" w14:paraId="7F5F735C" w14:textId="77777777" w:rsidTr="00541794">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7320001" w14:textId="77777777" w:rsidR="00D10D43" w:rsidRDefault="00D10D43" w:rsidP="00541794">
            <w:r>
              <w:rPr>
                <w:sz w:val="20"/>
                <w:szCs w:val="20"/>
              </w:rPr>
              <w:t>Applier</w:t>
            </w:r>
          </w:p>
        </w:tc>
        <w:tc>
          <w:tcPr>
            <w:tcW w:w="4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436ED40" w14:textId="77777777" w:rsidR="00D10D43" w:rsidRDefault="00D10D43" w:rsidP="00541794">
            <w:r>
              <w:rPr>
                <w:sz w:val="20"/>
                <w:szCs w:val="20"/>
              </w:rPr>
              <w:t>Deterministic logic that applies rules to a specific recipe to produce a variant. Mostly arithmetic and lookups; AI only for genuinely novel cases.</w:t>
            </w:r>
          </w:p>
        </w:tc>
        <w:tc>
          <w:tcPr>
            <w:tcW w:w="31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A385D49" w14:textId="77777777" w:rsidR="00D10D43" w:rsidRDefault="00D10D43" w:rsidP="00541794">
            <w:r>
              <w:rPr>
                <w:sz w:val="20"/>
                <w:szCs w:val="20"/>
              </w:rPr>
              <w:t xml:space="preserve">Free / </w:t>
            </w:r>
            <w:proofErr w:type="gramStart"/>
            <w:r>
              <w:rPr>
                <w:sz w:val="20"/>
                <w:szCs w:val="20"/>
              </w:rPr>
              <w:t>near-free</w:t>
            </w:r>
            <w:proofErr w:type="gramEnd"/>
            <w:r>
              <w:rPr>
                <w:sz w:val="20"/>
                <w:szCs w:val="20"/>
              </w:rPr>
              <w:t>, runs constantly, reproducible.</w:t>
            </w:r>
          </w:p>
        </w:tc>
      </w:tr>
      <w:tr w:rsidR="00D10D43" w14:paraId="2B24D023" w14:textId="77777777" w:rsidTr="00541794">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BD99952" w14:textId="77777777" w:rsidR="00D10D43" w:rsidRDefault="00D10D43" w:rsidP="00541794">
            <w:r>
              <w:rPr>
                <w:sz w:val="20"/>
                <w:szCs w:val="20"/>
              </w:rPr>
              <w:t>Variants</w:t>
            </w:r>
          </w:p>
        </w:tc>
        <w:tc>
          <w:tcPr>
            <w:tcW w:w="4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5DB8CDF" w14:textId="77777777" w:rsidR="00D10D43" w:rsidRDefault="00D10D43" w:rsidP="00541794">
            <w:r>
              <w:rPr>
                <w:sz w:val="20"/>
                <w:szCs w:val="20"/>
              </w:rPr>
              <w:t>Concrete, stored execution plans for a recipe under a set of choices (servings, doneness, swaps). Real recipes the UI navigates to.</w:t>
            </w:r>
          </w:p>
        </w:tc>
        <w:tc>
          <w:tcPr>
            <w:tcW w:w="31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2B815B0" w14:textId="77777777" w:rsidR="00D10D43" w:rsidRDefault="00D10D43" w:rsidP="00541794">
            <w:r>
              <w:rPr>
                <w:sz w:val="20"/>
                <w:szCs w:val="20"/>
              </w:rPr>
              <w:t xml:space="preserve">Generated lazily, </w:t>
            </w:r>
            <w:proofErr w:type="gramStart"/>
            <w:r>
              <w:rPr>
                <w:sz w:val="20"/>
                <w:szCs w:val="20"/>
              </w:rPr>
              <w:t>cached</w:t>
            </w:r>
            <w:proofErr w:type="gramEnd"/>
            <w:r>
              <w:rPr>
                <w:sz w:val="20"/>
                <w:szCs w:val="20"/>
              </w:rPr>
              <w:t>, reused forever.</w:t>
            </w:r>
          </w:p>
        </w:tc>
      </w:tr>
    </w:tbl>
    <w:p w14:paraId="3E51A854" w14:textId="77777777" w:rsidR="00D10D43" w:rsidRDefault="00D10D43" w:rsidP="00D10D43">
      <w:pPr>
        <w:spacing w:after="60"/>
      </w:pPr>
    </w:p>
    <w:p w14:paraId="5DB381A5" w14:textId="77777777" w:rsidR="00D10D43" w:rsidRDefault="00D10D43" w:rsidP="00D10D43">
      <w:pPr>
        <w:spacing w:after="120" w:line="276" w:lineRule="auto"/>
      </w:pPr>
      <w:r>
        <w:rPr>
          <w:b/>
          <w:bCs/>
        </w:rPr>
        <w:t xml:space="preserve">Why the separation matters: </w:t>
      </w:r>
      <w:r>
        <w:t>if rules and output are tangled together, every recipe variation costs a fresh expensive computation. By extracting rules as data and making the applier deterministic, most variation becomes free and — importantly — reproducible: the same inputs always yield the same output, which an AI call cannot guarantee.</w:t>
      </w:r>
    </w:p>
    <w:p w14:paraId="4A817CB2" w14:textId="77777777" w:rsidR="00D10D43" w:rsidRDefault="00D10D43" w:rsidP="00D10D43">
      <w:pPr>
        <w:pStyle w:val="Heading2"/>
      </w:pPr>
      <w:bookmarkStart w:id="4" w:name="_Toc231159097"/>
      <w:r>
        <w:lastRenderedPageBreak/>
        <w:t xml:space="preserve">2.2 </w:t>
      </w:r>
      <w:proofErr w:type="gramStart"/>
      <w:r>
        <w:t>Pre-compute</w:t>
      </w:r>
      <w:proofErr w:type="gramEnd"/>
      <w:r>
        <w:t xml:space="preserve"> and </w:t>
      </w:r>
      <w:proofErr w:type="gramStart"/>
      <w:r>
        <w:t>navigate</w:t>
      </w:r>
      <w:bookmarkEnd w:id="4"/>
      <w:proofErr w:type="gramEnd"/>
    </w:p>
    <w:p w14:paraId="649985C3" w14:textId="77777777" w:rsidR="00D10D43" w:rsidRDefault="00D10D43" w:rsidP="00D10D43">
      <w:pPr>
        <w:spacing w:after="120" w:line="276" w:lineRule="auto"/>
      </w:pPr>
      <w:r>
        <w:t xml:space="preserve">Variants are pre-computed and stored, and the interface navigates between them rather than generating them live. Choosing 6 servings, or medium-rare, or a swapped ingredient, is selecting a variant that already exists — not triggering a </w:t>
      </w:r>
      <w:proofErr w:type="spellStart"/>
      <w:r>
        <w:t>recomputation</w:t>
      </w:r>
      <w:proofErr w:type="spellEnd"/>
      <w:r>
        <w:t>. On-demand generation is a premium/power-user exception, not the default path.</w:t>
      </w:r>
    </w:p>
    <w:p w14:paraId="70AD8685" w14:textId="77777777" w:rsidR="00D10D43" w:rsidRDefault="00D10D43" w:rsidP="00D10D43">
      <w:pPr>
        <w:spacing w:after="120" w:line="276" w:lineRule="auto"/>
      </w:pPr>
      <w:r>
        <w:rPr>
          <w:b/>
          <w:bCs/>
        </w:rPr>
        <w:t xml:space="preserve">The combinatorial trap. </w:t>
      </w:r>
      <w:r>
        <w:t>The full cross-product of choices is unaffordable: a recipe with servings (12 values) × doneness (4) × one swap (3 options) is 144 variants, most never viewed. Pre-computing the cross-product does not scale across a catalogue. The resolution is a two-part discipline: (a) be selective about which axes are pre-expanded at all, and (b) generate novel combinations lazily, on first request, then cache them as ordinary navigation targets.</w:t>
      </w:r>
    </w:p>
    <w:p w14:paraId="4C0E7FBF" w14:textId="77777777" w:rsidR="00D10D43" w:rsidRDefault="00D10D43" w:rsidP="00D10D43">
      <w:pPr>
        <w:spacing w:after="120" w:line="276" w:lineRule="auto"/>
      </w:pPr>
      <w:r>
        <w:rPr>
          <w:b/>
          <w:bCs/>
        </w:rPr>
        <w:t xml:space="preserve">Ambition level. </w:t>
      </w:r>
      <w:r>
        <w:t>Each recipe carries a policy — its ambition level — declaring which axes are pre-expanded, at what depth, and which are left on-demand. A sensible default: pre-compute discrete preference axes (doneness, etc.) at the default serving count only; treat servings as a parameter below a method-breakpoint; leave ingredient swaps on-demand. That is a handful of variants per recipe, not 144.</w:t>
      </w:r>
    </w:p>
    <w:p w14:paraId="63479DB9" w14:textId="77777777" w:rsidR="00D10D43" w:rsidRDefault="00D10D43" w:rsidP="00D10D43">
      <w:pPr>
        <w:pStyle w:val="Heading2"/>
      </w:pPr>
      <w:bookmarkStart w:id="5" w:name="_Toc231159098"/>
      <w:r>
        <w:t>2.3 Servings: parameter below a breakpoint, variant above it</w:t>
      </w:r>
      <w:bookmarkEnd w:id="5"/>
    </w:p>
    <w:p w14:paraId="4D7AAC28" w14:textId="77777777" w:rsidR="00D10D43" w:rsidRDefault="00D10D43" w:rsidP="00D10D43">
      <w:pPr>
        <w:spacing w:after="120" w:line="276" w:lineRule="auto"/>
      </w:pPr>
      <w:r>
        <w:t xml:space="preserve">Servings </w:t>
      </w:r>
      <w:proofErr w:type="gramStart"/>
      <w:r>
        <w:t>is</w:t>
      </w:r>
      <w:proofErr w:type="gramEnd"/>
      <w:r>
        <w:t xml:space="preserve"> the subtlest axis, because scaling is not a single kind of operation. Two regimes coexist:</w:t>
      </w:r>
    </w:p>
    <w:p w14:paraId="762B4E39" w14:textId="77777777" w:rsidR="00D10D43" w:rsidRDefault="00D10D43" w:rsidP="00D10D43">
      <w:pPr>
        <w:pStyle w:val="ListParagraph"/>
        <w:numPr>
          <w:ilvl w:val="0"/>
          <w:numId w:val="3"/>
        </w:numPr>
        <w:spacing w:after="80" w:line="276" w:lineRule="auto"/>
        <w:contextualSpacing w:val="0"/>
      </w:pPr>
      <w:r>
        <w:rPr>
          <w:b/>
          <w:bCs/>
        </w:rPr>
        <w:t xml:space="preserve">Quantity regime (below the breakpoint). </w:t>
      </w:r>
      <w:r>
        <w:t>For most dishes at most counts, scaling means adjusting quantities. This is cheap, can be done at view time, and needs no stored variant. Note it is not purely linear: seasonings, leavening, salt, and aromatics often scale sub-linearly, for recipe-specific reasons — which is exactly why a rule, not a fixed multiplier, governs it.</w:t>
      </w:r>
    </w:p>
    <w:p w14:paraId="7664DCC9" w14:textId="77777777" w:rsidR="00D10D43" w:rsidRDefault="00D10D43" w:rsidP="00D10D43">
      <w:pPr>
        <w:pStyle w:val="ListParagraph"/>
        <w:numPr>
          <w:ilvl w:val="0"/>
          <w:numId w:val="3"/>
        </w:numPr>
        <w:spacing w:after="80" w:line="276" w:lineRule="auto"/>
        <w:contextualSpacing w:val="0"/>
      </w:pPr>
      <w:r>
        <w:rPr>
          <w:b/>
          <w:bCs/>
        </w:rPr>
        <w:t xml:space="preserve">Method regime (at or above the breakpoint). </w:t>
      </w:r>
      <w:r>
        <w:t xml:space="preserve">Past some threshold the cooking method itself changes. Searing two </w:t>
      </w:r>
      <w:proofErr w:type="spellStart"/>
      <w:r>
        <w:t>ribeyes</w:t>
      </w:r>
      <w:proofErr w:type="spellEnd"/>
      <w:r>
        <w:t xml:space="preserve"> is one pan; twelve is reverse-sear in the oven then finish in batches — different equipment, different steps, different parallelism and timing. This is a genuine variant: a stored execution plan with step overrides and different equipment, not a quantity transform.</w:t>
      </w:r>
    </w:p>
    <w:p w14:paraId="1677036F" w14:textId="77777777" w:rsidR="00D10D43" w:rsidRDefault="00D10D43" w:rsidP="00D10D43">
      <w:pPr>
        <w:spacing w:after="120" w:line="276" w:lineRule="auto"/>
      </w:pPr>
      <w:r>
        <w:rPr>
          <w:b/>
          <w:bCs/>
        </w:rPr>
        <w:t xml:space="preserve">Consequence: </w:t>
      </w:r>
      <w:r>
        <w:t xml:space="preserve">servings cannot be purely a view-time parameter. Each recipe declares a breakpoint (or the Core infers one from total mass / piece count versus equipment capacity). Below it, scale quantities live. At or above it, route to a pre-computed method-variant. Because unusual counts are rare, only the serving counts and breakpoints that matter for a given dish </w:t>
      </w:r>
      <w:proofErr w:type="gramStart"/>
      <w:r>
        <w:t>are ever materialized</w:t>
      </w:r>
      <w:proofErr w:type="gramEnd"/>
      <w:r>
        <w:t>.</w:t>
      </w:r>
    </w:p>
    <w:p w14:paraId="6ECB68E7" w14:textId="77777777" w:rsidR="00D10D43" w:rsidRDefault="00D10D43" w:rsidP="00D10D43">
      <w:pPr>
        <w:pStyle w:val="Heading1"/>
      </w:pPr>
      <w:bookmarkStart w:id="6" w:name="_Toc231159099"/>
      <w:r>
        <w:t>3. Provenance and confidence: how the Core grows</w:t>
      </w:r>
      <w:bookmarkEnd w:id="6"/>
    </w:p>
    <w:p w14:paraId="0C844CDF" w14:textId="77777777" w:rsidR="00D10D43" w:rsidRDefault="00D10D43" w:rsidP="00D10D43">
      <w:pPr>
        <w:spacing w:after="120" w:line="276" w:lineRule="auto"/>
      </w:pPr>
      <w:r>
        <w:t xml:space="preserve">The single most important design decision in the whole engine: every rule and every recipe parameter </w:t>
      </w:r>
      <w:proofErr w:type="gramStart"/>
      <w:r>
        <w:t>carries</w:t>
      </w:r>
      <w:proofErr w:type="gramEnd"/>
      <w:r>
        <w:t xml:space="preserve"> provenance (where the value came from) and confidence (how much we trust it). This one field set is what lets the Core improve coherently over time, lets us compute a meaningful quality score, and lets the system direct human effort where it matters.</w:t>
      </w:r>
    </w:p>
    <w:p w14:paraId="4A85D0AA" w14:textId="77777777" w:rsidR="00D10D43" w:rsidRDefault="00D10D43" w:rsidP="00D10D43">
      <w:pPr>
        <w:pStyle w:val="Heading2"/>
      </w:pPr>
      <w:bookmarkStart w:id="7" w:name="_Toc231159100"/>
      <w:r>
        <w:t>3.1 The evidence hierarchy</w:t>
      </w:r>
      <w:bookmarkEnd w:id="7"/>
    </w:p>
    <w:p w14:paraId="0AA2F8CE" w14:textId="77777777" w:rsidR="00D10D43" w:rsidRDefault="00D10D43" w:rsidP="00D10D43">
      <w:pPr>
        <w:spacing w:after="120" w:line="276" w:lineRule="auto"/>
      </w:pPr>
      <w:r>
        <w:t>Knowledge enters the Core at different evidence grades. Higher grades override lower ones for the same 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360"/>
        <w:gridCol w:w="1600"/>
      </w:tblGrid>
      <w:tr w:rsidR="00D10D43" w14:paraId="6956FC2B" w14:textId="77777777" w:rsidTr="00541794">
        <w:tblPrEx>
          <w:tblCellMar>
            <w:top w:w="0" w:type="dxa"/>
            <w:bottom w:w="0" w:type="dxa"/>
          </w:tblCellMar>
        </w:tblPrEx>
        <w:trPr>
          <w:tblHeader/>
        </w:trPr>
        <w:tc>
          <w:tcPr>
            <w:tcW w:w="1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92FB1A8" w14:textId="77777777" w:rsidR="00D10D43" w:rsidRDefault="00D10D43" w:rsidP="00541794">
            <w:r>
              <w:rPr>
                <w:b/>
                <w:bCs/>
                <w:color w:val="FFFFFF"/>
                <w:sz w:val="20"/>
                <w:szCs w:val="20"/>
              </w:rPr>
              <w:lastRenderedPageBreak/>
              <w:t>Grade</w:t>
            </w:r>
          </w:p>
        </w:tc>
        <w:tc>
          <w:tcPr>
            <w:tcW w:w="29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5BF4410" w14:textId="77777777" w:rsidR="00D10D43" w:rsidRDefault="00D10D43" w:rsidP="00541794">
            <w:r>
              <w:rPr>
                <w:b/>
                <w:bCs/>
                <w:color w:val="FFFFFF"/>
                <w:sz w:val="20"/>
                <w:szCs w:val="20"/>
              </w:rPr>
              <w:t>Source</w:t>
            </w:r>
          </w:p>
        </w:tc>
        <w:tc>
          <w:tcPr>
            <w:tcW w:w="33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35A2DEF9" w14:textId="77777777" w:rsidR="00D10D43" w:rsidRDefault="00D10D43" w:rsidP="00541794">
            <w:r>
              <w:rPr>
                <w:b/>
                <w:bCs/>
                <w:color w:val="FFFFFF"/>
                <w:sz w:val="20"/>
                <w:szCs w:val="20"/>
              </w:rPr>
              <w:t>Example</w:t>
            </w:r>
          </w:p>
        </w:tc>
        <w:tc>
          <w:tcPr>
            <w:tcW w:w="16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4450C309" w14:textId="77777777" w:rsidR="00D10D43" w:rsidRDefault="00D10D43" w:rsidP="00541794">
            <w:r>
              <w:rPr>
                <w:b/>
                <w:bCs/>
                <w:color w:val="FFFFFF"/>
                <w:sz w:val="20"/>
                <w:szCs w:val="20"/>
              </w:rPr>
              <w:t>Trust</w:t>
            </w:r>
          </w:p>
        </w:tc>
      </w:tr>
      <w:tr w:rsidR="00D10D43" w14:paraId="2F184454" w14:textId="77777777" w:rsidTr="00541794">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914FDE6" w14:textId="77777777" w:rsidR="00D10D43" w:rsidRDefault="00D10D43" w:rsidP="00541794">
            <w:r>
              <w:rPr>
                <w:sz w:val="20"/>
                <w:szCs w:val="20"/>
              </w:rPr>
              <w:t>E0 — Inferred</w:t>
            </w:r>
          </w:p>
        </w:tc>
        <w:tc>
          <w:tcPr>
            <w:tcW w:w="2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55D3932" w14:textId="77777777" w:rsidR="00D10D43" w:rsidRDefault="00D10D43" w:rsidP="00541794">
            <w:r>
              <w:rPr>
                <w:sz w:val="20"/>
                <w:szCs w:val="20"/>
              </w:rPr>
              <w:t>Applier output / cross-family transfer / small model</w:t>
            </w:r>
          </w:p>
        </w:tc>
        <w:tc>
          <w:tcPr>
            <w:tcW w:w="3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468086F" w14:textId="77777777" w:rsidR="00D10D43" w:rsidRDefault="00D10D43" w:rsidP="00541794">
            <w:r>
              <w:rPr>
                <w:sz w:val="20"/>
                <w:szCs w:val="20"/>
              </w:rPr>
              <w:t>Striploin doneness inferred from ribeye (same family)</w:t>
            </w:r>
          </w:p>
        </w:tc>
        <w:tc>
          <w:tcPr>
            <w:tcW w:w="1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61858ED" w14:textId="77777777" w:rsidR="00D10D43" w:rsidRDefault="00D10D43" w:rsidP="00541794">
            <w:r>
              <w:rPr>
                <w:sz w:val="20"/>
                <w:szCs w:val="20"/>
              </w:rPr>
              <w:t>Lowest</w:t>
            </w:r>
          </w:p>
        </w:tc>
      </w:tr>
      <w:tr w:rsidR="00D10D43" w14:paraId="3940592E" w14:textId="77777777" w:rsidTr="00541794">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1022840" w14:textId="77777777" w:rsidR="00D10D43" w:rsidRDefault="00D10D43" w:rsidP="00541794">
            <w:r>
              <w:rPr>
                <w:sz w:val="20"/>
                <w:szCs w:val="20"/>
              </w:rPr>
              <w:t>E1 — Literature</w:t>
            </w:r>
          </w:p>
        </w:tc>
        <w:tc>
          <w:tcPr>
            <w:tcW w:w="2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ACF0201" w14:textId="77777777" w:rsidR="00D10D43" w:rsidRDefault="00D10D43" w:rsidP="00541794">
            <w:r>
              <w:rPr>
                <w:sz w:val="20"/>
                <w:szCs w:val="20"/>
              </w:rPr>
              <w:t>Food-science texts, peer-reviewed papers, physics</w:t>
            </w:r>
          </w:p>
        </w:tc>
        <w:tc>
          <w:tcPr>
            <w:tcW w:w="3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28CC9A3" w14:textId="77777777" w:rsidR="00D10D43" w:rsidRDefault="00D10D43" w:rsidP="00541794">
            <w:r>
              <w:rPr>
                <w:sz w:val="20"/>
                <w:szCs w:val="20"/>
              </w:rPr>
              <w:t>Collagen → gelatin at ~80°C with moist heat</w:t>
            </w:r>
          </w:p>
        </w:tc>
        <w:tc>
          <w:tcPr>
            <w:tcW w:w="16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7E2053EB" w14:textId="77777777" w:rsidR="00D10D43" w:rsidRDefault="00D10D43" w:rsidP="00541794">
            <w:r>
              <w:rPr>
                <w:sz w:val="20"/>
                <w:szCs w:val="20"/>
              </w:rPr>
              <w:t>Medium</w:t>
            </w:r>
          </w:p>
        </w:tc>
      </w:tr>
      <w:tr w:rsidR="00D10D43" w14:paraId="44BC50FB" w14:textId="77777777" w:rsidTr="00541794">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4AA0875" w14:textId="77777777" w:rsidR="00D10D43" w:rsidRDefault="00D10D43" w:rsidP="00541794">
            <w:r>
              <w:rPr>
                <w:sz w:val="20"/>
                <w:szCs w:val="20"/>
              </w:rPr>
              <w:t>E2 — Expert</w:t>
            </w:r>
          </w:p>
        </w:tc>
        <w:tc>
          <w:tcPr>
            <w:tcW w:w="2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A136D09" w14:textId="77777777" w:rsidR="00D10D43" w:rsidRDefault="00D10D43" w:rsidP="00541794">
            <w:r>
              <w:rPr>
                <w:sz w:val="20"/>
                <w:szCs w:val="20"/>
              </w:rPr>
              <w:t>Hired chefs / food scientists fill or correct a rule</w:t>
            </w:r>
          </w:p>
        </w:tc>
        <w:tc>
          <w:tcPr>
            <w:tcW w:w="3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64AC7EA" w14:textId="77777777" w:rsidR="00D10D43" w:rsidRDefault="00D10D43" w:rsidP="00541794">
            <w:r>
              <w:rPr>
                <w:sz w:val="20"/>
                <w:szCs w:val="20"/>
              </w:rPr>
              <w:t>Chef specifies batch-cooking breakpoint for a roast</w:t>
            </w:r>
          </w:p>
        </w:tc>
        <w:tc>
          <w:tcPr>
            <w:tcW w:w="1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DE42716" w14:textId="77777777" w:rsidR="00D10D43" w:rsidRDefault="00D10D43" w:rsidP="00541794">
            <w:r>
              <w:rPr>
                <w:sz w:val="20"/>
                <w:szCs w:val="20"/>
              </w:rPr>
              <w:t>High</w:t>
            </w:r>
          </w:p>
        </w:tc>
      </w:tr>
      <w:tr w:rsidR="00D10D43" w14:paraId="61A1BC15" w14:textId="77777777" w:rsidTr="00541794">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77B8CCC" w14:textId="77777777" w:rsidR="00D10D43" w:rsidRDefault="00D10D43" w:rsidP="00541794">
            <w:r>
              <w:rPr>
                <w:sz w:val="20"/>
                <w:szCs w:val="20"/>
              </w:rPr>
              <w:t>E3 — Tested</w:t>
            </w:r>
          </w:p>
        </w:tc>
        <w:tc>
          <w:tcPr>
            <w:tcW w:w="2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9D518E5" w14:textId="77777777" w:rsidR="00D10D43" w:rsidRDefault="00D10D43" w:rsidP="00541794">
            <w:r>
              <w:rPr>
                <w:sz w:val="20"/>
                <w:szCs w:val="20"/>
              </w:rPr>
              <w:t>Controlled in-kitchen test of a specific combination</w:t>
            </w:r>
          </w:p>
        </w:tc>
        <w:tc>
          <w:tcPr>
            <w:tcW w:w="33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F28D82A" w14:textId="77777777" w:rsidR="00D10D43" w:rsidRDefault="00D10D43" w:rsidP="00541794">
            <w:r>
              <w:rPr>
                <w:sz w:val="20"/>
                <w:szCs w:val="20"/>
              </w:rPr>
              <w:t>Measured time/temp for this cut + method + mass</w:t>
            </w:r>
          </w:p>
        </w:tc>
        <w:tc>
          <w:tcPr>
            <w:tcW w:w="16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CF9AE55" w14:textId="77777777" w:rsidR="00D10D43" w:rsidRDefault="00D10D43" w:rsidP="00541794">
            <w:r>
              <w:rPr>
                <w:sz w:val="20"/>
                <w:szCs w:val="20"/>
              </w:rPr>
              <w:t>Highest</w:t>
            </w:r>
          </w:p>
        </w:tc>
      </w:tr>
      <w:tr w:rsidR="00D10D43" w14:paraId="26DF961F" w14:textId="77777777" w:rsidTr="00541794">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4B95D3B" w14:textId="77777777" w:rsidR="00D10D43" w:rsidRDefault="00D10D43" w:rsidP="00541794">
            <w:r>
              <w:rPr>
                <w:sz w:val="20"/>
                <w:szCs w:val="20"/>
              </w:rPr>
              <w:t>U — User feedback</w:t>
            </w:r>
          </w:p>
        </w:tc>
        <w:tc>
          <w:tcPr>
            <w:tcW w:w="2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63A4D9E" w14:textId="77777777" w:rsidR="00D10D43" w:rsidRDefault="00D10D43" w:rsidP="00541794">
            <w:r>
              <w:rPr>
                <w:sz w:val="20"/>
                <w:szCs w:val="20"/>
              </w:rPr>
              <w:t>Aggregated ratings; structured deep-interview input</w:t>
            </w:r>
          </w:p>
        </w:tc>
        <w:tc>
          <w:tcPr>
            <w:tcW w:w="33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5C06E2F" w14:textId="77777777" w:rsidR="00D10D43" w:rsidRDefault="00D10D43" w:rsidP="00541794">
            <w:r>
              <w:rPr>
                <w:sz w:val="20"/>
                <w:szCs w:val="20"/>
              </w:rPr>
              <w:t>Selected users report suggested time ran short</w:t>
            </w:r>
          </w:p>
        </w:tc>
        <w:tc>
          <w:tcPr>
            <w:tcW w:w="16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24FB4FF" w14:textId="77777777" w:rsidR="00D10D43" w:rsidRDefault="00D10D43" w:rsidP="00541794">
            <w:r>
              <w:rPr>
                <w:sz w:val="20"/>
                <w:szCs w:val="20"/>
              </w:rPr>
              <w:t>Varies; modifies, rarely sets</w:t>
            </w:r>
          </w:p>
        </w:tc>
      </w:tr>
    </w:tbl>
    <w:p w14:paraId="6A8EE3EC" w14:textId="77777777" w:rsidR="00D10D43" w:rsidRDefault="00D10D43" w:rsidP="00D10D43">
      <w:pPr>
        <w:spacing w:after="60"/>
      </w:pPr>
    </w:p>
    <w:p w14:paraId="06CACB93" w14:textId="77777777" w:rsidR="00D10D43" w:rsidRDefault="00D10D43" w:rsidP="00D10D43">
      <w:pPr>
        <w:spacing w:after="120" w:line="276" w:lineRule="auto"/>
      </w:pPr>
      <w:r>
        <w:rPr>
          <w:b/>
          <w:bCs/>
        </w:rPr>
        <w:t xml:space="preserve">User feedback is deliberately not at the top. </w:t>
      </w:r>
      <w:r>
        <w:t>It is biased toward people who already liked a recipe (survivorship) and is noisy as raw ratings. Its role is to flag and modify, not to set authoritative values — except structured, attributable feedback (“the suggested time was too short for my pan”) which can update a specific parameter. The deep-interview tier trades volume for quality on purpose; its value depends on keeping feedback attributable to individual parameters, not whole-recipe vibes.</w:t>
      </w:r>
    </w:p>
    <w:p w14:paraId="2CF07D07" w14:textId="77777777" w:rsidR="00D10D43" w:rsidRDefault="00D10D43" w:rsidP="00D10D43">
      <w:pPr>
        <w:pStyle w:val="Heading2"/>
      </w:pPr>
      <w:bookmarkStart w:id="8" w:name="_Toc231159101"/>
      <w:r>
        <w:t xml:space="preserve">3.2 Why </w:t>
      </w:r>
      <w:proofErr w:type="gramStart"/>
      <w:r>
        <w:t>this</w:t>
      </w:r>
      <w:proofErr w:type="gramEnd"/>
      <w:r>
        <w:t xml:space="preserve"> scheme pays off</w:t>
      </w:r>
      <w:bookmarkEnd w:id="8"/>
    </w:p>
    <w:p w14:paraId="20F938FB" w14:textId="77777777" w:rsidR="00D10D43" w:rsidRDefault="00D10D43" w:rsidP="00D10D43">
      <w:pPr>
        <w:pStyle w:val="ListParagraph"/>
        <w:numPr>
          <w:ilvl w:val="0"/>
          <w:numId w:val="3"/>
        </w:numPr>
        <w:spacing w:after="80" w:line="276" w:lineRule="auto"/>
        <w:contextualSpacing w:val="0"/>
      </w:pPr>
      <w:r>
        <w:rPr>
          <w:b/>
          <w:bCs/>
        </w:rPr>
        <w:t xml:space="preserve">Coherent growth. </w:t>
      </w:r>
      <w:r>
        <w:t>New evidence updates a value only if its grade meets or beats the incumbent; the Core ratchets upward in quality rather than churning.</w:t>
      </w:r>
    </w:p>
    <w:p w14:paraId="140BBAF2" w14:textId="77777777" w:rsidR="00D10D43" w:rsidRDefault="00D10D43" w:rsidP="00D10D43">
      <w:pPr>
        <w:pStyle w:val="ListParagraph"/>
        <w:numPr>
          <w:ilvl w:val="0"/>
          <w:numId w:val="3"/>
        </w:numPr>
        <w:spacing w:after="80" w:line="276" w:lineRule="auto"/>
        <w:contextualSpacing w:val="0"/>
      </w:pPr>
      <w:proofErr w:type="spellStart"/>
      <w:r>
        <w:rPr>
          <w:b/>
          <w:bCs/>
        </w:rPr>
        <w:t>Groundable</w:t>
      </w:r>
      <w:proofErr w:type="spellEnd"/>
      <w:r>
        <w:rPr>
          <w:b/>
          <w:bCs/>
        </w:rPr>
        <w:t xml:space="preserve"> quality score. </w:t>
      </w:r>
      <w:r>
        <w:t>A recipe’s “probability of being great” is largely a function of the evidence grade and coverage of its key parameters — not a mystical metric.</w:t>
      </w:r>
    </w:p>
    <w:p w14:paraId="210F8D83" w14:textId="77777777" w:rsidR="00D10D43" w:rsidRDefault="00D10D43" w:rsidP="00D10D43">
      <w:pPr>
        <w:pStyle w:val="ListParagraph"/>
        <w:numPr>
          <w:ilvl w:val="0"/>
          <w:numId w:val="3"/>
        </w:numPr>
        <w:spacing w:after="80" w:line="276" w:lineRule="auto"/>
        <w:contextualSpacing w:val="0"/>
      </w:pPr>
      <w:r>
        <w:rPr>
          <w:b/>
          <w:bCs/>
        </w:rPr>
        <w:t xml:space="preserve">Active learning. </w:t>
      </w:r>
      <w:r>
        <w:t>The system can rank what to test next: high traffic + low evidence grade + high feedback disagreement = highest marginal value of a controlled test. AI directs human effort rather than replacing it.</w:t>
      </w:r>
    </w:p>
    <w:p w14:paraId="6CB4ABE2" w14:textId="77777777" w:rsidR="00D10D43" w:rsidRDefault="00D10D43" w:rsidP="00D10D43">
      <w:pPr>
        <w:pStyle w:val="ListParagraph"/>
        <w:numPr>
          <w:ilvl w:val="0"/>
          <w:numId w:val="3"/>
        </w:numPr>
        <w:spacing w:after="80" w:line="276" w:lineRule="auto"/>
        <w:contextualSpacing w:val="0"/>
      </w:pPr>
      <w:r>
        <w:rPr>
          <w:b/>
          <w:bCs/>
        </w:rPr>
        <w:t xml:space="preserve">Auditability. </w:t>
      </w:r>
      <w:r>
        <w:t>Every value can answer “why do we believe this?” — essential for a system that will eventually inform appliances and commercial kitchens.</w:t>
      </w:r>
    </w:p>
    <w:p w14:paraId="6A330060" w14:textId="77777777" w:rsidR="00D10D43" w:rsidRDefault="00D10D43" w:rsidP="00D10D43">
      <w:pPr>
        <w:spacing w:after="120" w:line="276" w:lineRule="auto"/>
      </w:pPr>
      <w:r>
        <w:rPr>
          <w:i/>
          <w:iCs/>
        </w:rPr>
        <w:t xml:space="preserve">Precedent already in the codebase: the nutrition </w:t>
      </w:r>
      <w:proofErr w:type="gramStart"/>
      <w:r>
        <w:rPr>
          <w:i/>
          <w:iCs/>
        </w:rPr>
        <w:t>backfill</w:t>
      </w:r>
      <w:proofErr w:type="gramEnd"/>
      <w:r>
        <w:rPr>
          <w:i/>
          <w:iCs/>
        </w:rPr>
        <w:t xml:space="preserve"> marks un-estimable items with a sentinel ({“estimated”: false}). That is a primitive provenance marker. The Core generalizes the same instinct to every value.</w:t>
      </w:r>
    </w:p>
    <w:p w14:paraId="41A245B5" w14:textId="77777777" w:rsidR="00D10D43" w:rsidRDefault="00D10D43" w:rsidP="00D10D43">
      <w:pPr>
        <w:pStyle w:val="Heading1"/>
      </w:pPr>
      <w:bookmarkStart w:id="9" w:name="_Toc231159102"/>
      <w:r>
        <w:t>4. Worked example: red-meat doneness and cut families</w:t>
      </w:r>
      <w:bookmarkEnd w:id="9"/>
    </w:p>
    <w:p w14:paraId="0958FAA3" w14:textId="77777777" w:rsidR="00D10D43" w:rsidRDefault="00D10D43" w:rsidP="00D10D43">
      <w:pPr>
        <w:spacing w:after="120" w:line="276" w:lineRule="auto"/>
      </w:pPr>
      <w:r>
        <w:t xml:space="preserve">Red meat is the right first domain: it is the most rule-governed, </w:t>
      </w:r>
      <w:proofErr w:type="gramStart"/>
      <w:r>
        <w:t>the science</w:t>
      </w:r>
      <w:proofErr w:type="gramEnd"/>
      <w:r>
        <w:t xml:space="preserve"> is well documented, and it exercises both doneness and the scaling breakpoint. The goal is to prove the rule → applier → variant pattern end-to-end on one domain before widening to poultry, fish, or baking (each of which has its own, different rule structure).</w:t>
      </w:r>
    </w:p>
    <w:p w14:paraId="3593F670" w14:textId="77777777" w:rsidR="00D10D43" w:rsidRDefault="00D10D43" w:rsidP="00D10D43">
      <w:pPr>
        <w:pStyle w:val="Heading2"/>
      </w:pPr>
      <w:bookmarkStart w:id="10" w:name="_Toc231159103"/>
      <w:r>
        <w:t>4.1 The science, as rules</w:t>
      </w:r>
      <w:bookmarkEnd w:id="10"/>
    </w:p>
    <w:p w14:paraId="0861FB83" w14:textId="77777777" w:rsidR="00D10D43" w:rsidRDefault="00D10D43" w:rsidP="00D10D43">
      <w:pPr>
        <w:spacing w:after="120" w:line="276" w:lineRule="auto"/>
      </w:pPr>
      <w:proofErr w:type="gramStart"/>
      <w:r>
        <w:t>The literature</w:t>
      </w:r>
      <w:proofErr w:type="gramEnd"/>
      <w:r>
        <w:t xml:space="preserve"> </w:t>
      </w:r>
      <w:proofErr w:type="gramStart"/>
      <w:r>
        <w:t>reduces</w:t>
      </w:r>
      <w:proofErr w:type="gramEnd"/>
      <w:r>
        <w:t xml:space="preserve"> to a small set of computable principles:</w:t>
      </w:r>
    </w:p>
    <w:p w14:paraId="31FA7561" w14:textId="77777777" w:rsidR="00D10D43" w:rsidRDefault="00D10D43" w:rsidP="00D10D43">
      <w:pPr>
        <w:pStyle w:val="ListParagraph"/>
        <w:numPr>
          <w:ilvl w:val="0"/>
          <w:numId w:val="3"/>
        </w:numPr>
        <w:spacing w:after="80" w:line="276" w:lineRule="auto"/>
        <w:contextualSpacing w:val="0"/>
      </w:pPr>
      <w:r>
        <w:rPr>
          <w:b/>
          <w:bCs/>
        </w:rPr>
        <w:lastRenderedPageBreak/>
        <w:t xml:space="preserve">Doneness is </w:t>
      </w:r>
      <w:proofErr w:type="gramStart"/>
      <w:r>
        <w:rPr>
          <w:b/>
          <w:bCs/>
        </w:rPr>
        <w:t>target</w:t>
      </w:r>
      <w:proofErr w:type="gramEnd"/>
      <w:r>
        <w:rPr>
          <w:b/>
          <w:bCs/>
        </w:rPr>
        <w:t xml:space="preserve"> internal temperature. </w:t>
      </w:r>
      <w:r>
        <w:t>Rare ~52°C, medium-rare ~57°C, medium ~63°C, well ~71°C — roughly constant across red-meat cuts. This is near-universal and is a lookup, not a per-recipe reasoning task.</w:t>
      </w:r>
    </w:p>
    <w:p w14:paraId="7075EB31" w14:textId="77777777" w:rsidR="00D10D43" w:rsidRDefault="00D10D43" w:rsidP="00D10D43">
      <w:pPr>
        <w:pStyle w:val="ListParagraph"/>
        <w:numPr>
          <w:ilvl w:val="0"/>
          <w:numId w:val="3"/>
        </w:numPr>
        <w:spacing w:after="80" w:line="276" w:lineRule="auto"/>
        <w:contextualSpacing w:val="0"/>
      </w:pPr>
      <w:r>
        <w:rPr>
          <w:b/>
          <w:bCs/>
        </w:rPr>
        <w:t xml:space="preserve">Method follows connective tissue. </w:t>
      </w:r>
      <w:r>
        <w:t xml:space="preserve">Muscle use → connective tissue → required method. </w:t>
      </w:r>
      <w:proofErr w:type="gramStart"/>
      <w:r>
        <w:t>Lightly-worked</w:t>
      </w:r>
      <w:proofErr w:type="gramEnd"/>
      <w:r>
        <w:t xml:space="preserve"> muscles (loin, rib) are low in collagen and suit dry heat; </w:t>
      </w:r>
      <w:proofErr w:type="gramStart"/>
      <w:r>
        <w:t>heavily-worked</w:t>
      </w:r>
      <w:proofErr w:type="gramEnd"/>
      <w:r>
        <w:t xml:space="preserve"> muscles (shank, shoulder) are collagen-rich and need moist heat, where collagen converts to gelatin at ~80°C. This single chain is the spine of the cut-family taxonomy.</w:t>
      </w:r>
    </w:p>
    <w:p w14:paraId="76CCB8A6" w14:textId="77777777" w:rsidR="00D10D43" w:rsidRDefault="00D10D43" w:rsidP="00D10D43">
      <w:pPr>
        <w:pStyle w:val="ListParagraph"/>
        <w:numPr>
          <w:ilvl w:val="0"/>
          <w:numId w:val="3"/>
        </w:numPr>
        <w:spacing w:after="80" w:line="276" w:lineRule="auto"/>
        <w:contextualSpacing w:val="0"/>
      </w:pPr>
      <w:r>
        <w:rPr>
          <w:b/>
          <w:bCs/>
        </w:rPr>
        <w:t xml:space="preserve">Time and method modulate by thickness, fat, and mass. </w:t>
      </w:r>
      <w:r>
        <w:t>Target temp is constant; how you reach it depends on cut attributes — and total mass / piece count versus equipment capacity sets the scaling breakpoint.</w:t>
      </w:r>
    </w:p>
    <w:p w14:paraId="26D4B044" w14:textId="77777777" w:rsidR="00D10D43" w:rsidRDefault="00D10D43" w:rsidP="00D10D43">
      <w:pPr>
        <w:pStyle w:val="Heading2"/>
      </w:pPr>
      <w:bookmarkStart w:id="11" w:name="_Toc231159104"/>
      <w:r>
        <w:t>4.2 Cut families (strawman)</w:t>
      </w:r>
      <w:bookmarkEnd w:id="11"/>
    </w:p>
    <w:p w14:paraId="487AF333" w14:textId="77777777" w:rsidR="00D10D43" w:rsidRDefault="00D10D43" w:rsidP="00D10D43">
      <w:pPr>
        <w:spacing w:after="120" w:line="276" w:lineRule="auto"/>
      </w:pPr>
      <w:r>
        <w:t xml:space="preserve">Cuts cluster by cooking </w:t>
      </w:r>
      <w:proofErr w:type="spellStart"/>
      <w:r>
        <w:t>behaviour</w:t>
      </w:r>
      <w:proofErr w:type="spellEnd"/>
      <w:r>
        <w:t>. Rules transfer safely within a family; cross-family transfer must be guarded — applying ribeye logic to brisket would confidently braise a steak or grill a pot roast.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2200"/>
        <w:gridCol w:w="2660"/>
        <w:gridCol w:w="1300"/>
      </w:tblGrid>
      <w:tr w:rsidR="00D10D43" w14:paraId="5838B477" w14:textId="77777777" w:rsidTr="00541794">
        <w:tblPrEx>
          <w:tblCellMar>
            <w:top w:w="0" w:type="dxa"/>
            <w:bottom w:w="0" w:type="dxa"/>
          </w:tblCellMar>
        </w:tblPrEx>
        <w:trPr>
          <w:tblHeader/>
        </w:trPr>
        <w:tc>
          <w:tcPr>
            <w:tcW w:w="1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FD0C4D8" w14:textId="77777777" w:rsidR="00D10D43" w:rsidRDefault="00D10D43" w:rsidP="00541794">
            <w:r>
              <w:rPr>
                <w:b/>
                <w:bCs/>
                <w:color w:val="FFFFFF"/>
                <w:sz w:val="20"/>
                <w:szCs w:val="20"/>
              </w:rPr>
              <w:t>Family</w:t>
            </w:r>
          </w:p>
        </w:tc>
        <w:tc>
          <w:tcPr>
            <w:tcW w:w="1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771C59B9" w14:textId="77777777" w:rsidR="00D10D43" w:rsidRDefault="00D10D43" w:rsidP="00541794">
            <w:r>
              <w:rPr>
                <w:b/>
                <w:bCs/>
                <w:color w:val="FFFFFF"/>
                <w:sz w:val="20"/>
                <w:szCs w:val="20"/>
              </w:rPr>
              <w:t>Connective tissue</w:t>
            </w:r>
          </w:p>
        </w:tc>
        <w:tc>
          <w:tcPr>
            <w:tcW w:w="22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15AB0472" w14:textId="77777777" w:rsidR="00D10D43" w:rsidRDefault="00D10D43" w:rsidP="00541794">
            <w:r>
              <w:rPr>
                <w:b/>
                <w:bCs/>
                <w:color w:val="FFFFFF"/>
                <w:sz w:val="20"/>
                <w:szCs w:val="20"/>
              </w:rPr>
              <w:t>Default method</w:t>
            </w:r>
          </w:p>
        </w:tc>
        <w:tc>
          <w:tcPr>
            <w:tcW w:w="26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CD6552A" w14:textId="77777777" w:rsidR="00D10D43" w:rsidRDefault="00D10D43" w:rsidP="00541794">
            <w:r>
              <w:rPr>
                <w:b/>
                <w:bCs/>
                <w:color w:val="FFFFFF"/>
                <w:sz w:val="20"/>
                <w:szCs w:val="20"/>
              </w:rPr>
              <w:t>Example cuts</w:t>
            </w:r>
          </w:p>
        </w:tc>
        <w:tc>
          <w:tcPr>
            <w:tcW w:w="13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58E1E9A" w14:textId="77777777" w:rsidR="00D10D43" w:rsidRDefault="00D10D43" w:rsidP="00541794">
            <w:r>
              <w:rPr>
                <w:b/>
                <w:bCs/>
                <w:color w:val="FFFFFF"/>
                <w:sz w:val="20"/>
                <w:szCs w:val="20"/>
              </w:rPr>
              <w:t>Transfer rule</w:t>
            </w:r>
          </w:p>
        </w:tc>
      </w:tr>
      <w:tr w:rsidR="00D10D43" w14:paraId="0D8B1A19" w14:textId="77777777" w:rsidTr="00541794">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2700DC1" w14:textId="77777777" w:rsidR="00D10D43" w:rsidRDefault="00D10D43" w:rsidP="00541794">
            <w:r>
              <w:rPr>
                <w:sz w:val="20"/>
                <w:szCs w:val="20"/>
              </w:rPr>
              <w:t xml:space="preserve">Tender / </w:t>
            </w:r>
            <w:proofErr w:type="gramStart"/>
            <w:r>
              <w:rPr>
                <w:sz w:val="20"/>
                <w:szCs w:val="20"/>
              </w:rPr>
              <w:t>low-collagen</w:t>
            </w:r>
            <w:proofErr w:type="gramEnd"/>
          </w:p>
        </w:tc>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FCC5464" w14:textId="77777777" w:rsidR="00D10D43" w:rsidRDefault="00D10D43" w:rsidP="00541794">
            <w:r>
              <w:rPr>
                <w:sz w:val="20"/>
                <w:szCs w:val="20"/>
              </w:rPr>
              <w:t>Low</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CCE71C6" w14:textId="77777777" w:rsidR="00D10D43" w:rsidRDefault="00D10D43" w:rsidP="00541794">
            <w:r>
              <w:rPr>
                <w:sz w:val="20"/>
                <w:szCs w:val="20"/>
              </w:rPr>
              <w:t>Dry heat (sear, grill, roast)</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6EF6CB4" w14:textId="77777777" w:rsidR="00D10D43" w:rsidRDefault="00D10D43" w:rsidP="00541794">
            <w:r>
              <w:rPr>
                <w:sz w:val="20"/>
                <w:szCs w:val="20"/>
              </w:rPr>
              <w:t>Tenderloin, striploin, ribeye, top sirloin</w:t>
            </w:r>
          </w:p>
        </w:tc>
        <w:tc>
          <w:tcPr>
            <w:tcW w:w="1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0A2A22F0" w14:textId="77777777" w:rsidR="00D10D43" w:rsidRDefault="00D10D43" w:rsidP="00541794">
            <w:r>
              <w:rPr>
                <w:sz w:val="20"/>
                <w:szCs w:val="20"/>
              </w:rPr>
              <w:t>Rules transfer freely within family</w:t>
            </w:r>
          </w:p>
        </w:tc>
      </w:tr>
      <w:tr w:rsidR="00D10D43" w14:paraId="57B14905" w14:textId="77777777" w:rsidTr="00541794">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C74DA72" w14:textId="77777777" w:rsidR="00D10D43" w:rsidRDefault="00D10D43" w:rsidP="00541794">
            <w:r>
              <w:rPr>
                <w:sz w:val="20"/>
                <w:szCs w:val="20"/>
              </w:rPr>
              <w:t>Moderate</w:t>
            </w:r>
          </w:p>
        </w:tc>
        <w:tc>
          <w:tcPr>
            <w:tcW w:w="15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19ED0515" w14:textId="77777777" w:rsidR="00D10D43" w:rsidRDefault="00D10D43" w:rsidP="00541794">
            <w:r>
              <w:rPr>
                <w:sz w:val="20"/>
                <w:szCs w:val="20"/>
              </w:rPr>
              <w:t>Medium</w:t>
            </w:r>
          </w:p>
        </w:tc>
        <w:tc>
          <w:tcPr>
            <w:tcW w:w="2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4E8BCEA" w14:textId="77777777" w:rsidR="00D10D43" w:rsidRDefault="00D10D43" w:rsidP="00541794">
            <w:r>
              <w:rPr>
                <w:sz w:val="20"/>
                <w:szCs w:val="20"/>
              </w:rPr>
              <w:t>Dry heat, careful timing</w:t>
            </w:r>
          </w:p>
        </w:tc>
        <w:tc>
          <w:tcPr>
            <w:tcW w:w="26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FA41F05" w14:textId="77777777" w:rsidR="00D10D43" w:rsidRDefault="00D10D43" w:rsidP="00541794">
            <w:r>
              <w:rPr>
                <w:sz w:val="20"/>
                <w:szCs w:val="20"/>
              </w:rPr>
              <w:t xml:space="preserve">Flank, skirt, </w:t>
            </w:r>
            <w:proofErr w:type="gramStart"/>
            <w:r>
              <w:rPr>
                <w:sz w:val="20"/>
                <w:szCs w:val="20"/>
              </w:rPr>
              <w:t>tri</w:t>
            </w:r>
            <w:proofErr w:type="gramEnd"/>
            <w:r>
              <w:rPr>
                <w:sz w:val="20"/>
                <w:szCs w:val="20"/>
              </w:rPr>
              <w:t>-tip</w:t>
            </w:r>
          </w:p>
        </w:tc>
        <w:tc>
          <w:tcPr>
            <w:tcW w:w="13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646DDA1" w14:textId="77777777" w:rsidR="00D10D43" w:rsidRDefault="00D10D43" w:rsidP="00541794">
            <w:r>
              <w:rPr>
                <w:sz w:val="20"/>
                <w:szCs w:val="20"/>
              </w:rPr>
              <w:t>Transfer with thickness adjustment</w:t>
            </w:r>
          </w:p>
        </w:tc>
      </w:tr>
      <w:tr w:rsidR="00D10D43" w14:paraId="37A6C722" w14:textId="77777777" w:rsidTr="00541794">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74B355C" w14:textId="77777777" w:rsidR="00D10D43" w:rsidRDefault="00D10D43" w:rsidP="00541794">
            <w:r>
              <w:rPr>
                <w:sz w:val="20"/>
                <w:szCs w:val="20"/>
              </w:rPr>
              <w:t xml:space="preserve">Tough / </w:t>
            </w:r>
            <w:proofErr w:type="gramStart"/>
            <w:r>
              <w:rPr>
                <w:sz w:val="20"/>
                <w:szCs w:val="20"/>
              </w:rPr>
              <w:t>high-collagen</w:t>
            </w:r>
            <w:proofErr w:type="gramEnd"/>
          </w:p>
        </w:tc>
        <w:tc>
          <w:tcPr>
            <w:tcW w:w="15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B4ADD85" w14:textId="77777777" w:rsidR="00D10D43" w:rsidRDefault="00D10D43" w:rsidP="00541794">
            <w:r>
              <w:rPr>
                <w:sz w:val="20"/>
                <w:szCs w:val="20"/>
              </w:rPr>
              <w:t>High</w:t>
            </w:r>
          </w:p>
        </w:tc>
        <w:tc>
          <w:tcPr>
            <w:tcW w:w="2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220FBA6" w14:textId="77777777" w:rsidR="00D10D43" w:rsidRDefault="00D10D43" w:rsidP="00541794">
            <w:r>
              <w:rPr>
                <w:sz w:val="20"/>
                <w:szCs w:val="20"/>
              </w:rPr>
              <w:t>Moist / low-and-slow</w:t>
            </w:r>
          </w:p>
        </w:tc>
        <w:tc>
          <w:tcPr>
            <w:tcW w:w="26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6630251" w14:textId="77777777" w:rsidR="00D10D43" w:rsidRDefault="00D10D43" w:rsidP="00541794">
            <w:r>
              <w:rPr>
                <w:sz w:val="20"/>
                <w:szCs w:val="20"/>
              </w:rPr>
              <w:t>Brisket, chuck, shank, short rib</w:t>
            </w:r>
          </w:p>
        </w:tc>
        <w:tc>
          <w:tcPr>
            <w:tcW w:w="13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F5CD6BC" w14:textId="77777777" w:rsidR="00D10D43" w:rsidRDefault="00D10D43" w:rsidP="00541794">
            <w:r>
              <w:rPr>
                <w:sz w:val="20"/>
                <w:szCs w:val="20"/>
              </w:rPr>
              <w:t>Never inherit dry-heat doneness logic</w:t>
            </w:r>
          </w:p>
        </w:tc>
      </w:tr>
    </w:tbl>
    <w:p w14:paraId="14323F37" w14:textId="77777777" w:rsidR="00D10D43" w:rsidRDefault="00D10D43" w:rsidP="00D10D43">
      <w:pPr>
        <w:spacing w:after="60"/>
      </w:pPr>
    </w:p>
    <w:p w14:paraId="66AFEEFB" w14:textId="77777777" w:rsidR="00D10D43" w:rsidRDefault="00D10D43" w:rsidP="00D10D43">
      <w:pPr>
        <w:spacing w:after="120" w:line="276" w:lineRule="auto"/>
      </w:pPr>
      <w:r>
        <w:rPr>
          <w:b/>
          <w:bCs/>
        </w:rPr>
        <w:t xml:space="preserve">The guard is the valuable part. </w:t>
      </w:r>
      <w:r>
        <w:t xml:space="preserve">Relations between cuts are family membership plus attributes, not a similarity percentage. “Ribeye is 80% like brisket” is dangerous; “ribeye and brisket are different </w:t>
      </w:r>
      <w:proofErr w:type="spellStart"/>
      <w:r>
        <w:t>behavioural</w:t>
      </w:r>
      <w:proofErr w:type="spellEnd"/>
      <w:r>
        <w:t xml:space="preserve"> families, so doneness logic does not cross” is correct. Getting the family taxonomy and its cross-family guards right for a handful of families is precisely the structured food knowledge that is the moat — it deserves doing properly for a few families rather than fuzzily for all.</w:t>
      </w:r>
    </w:p>
    <w:p w14:paraId="066FF066" w14:textId="77777777" w:rsidR="00D10D43" w:rsidRDefault="00D10D43" w:rsidP="00D10D43">
      <w:pPr>
        <w:pStyle w:val="Heading2"/>
      </w:pPr>
      <w:bookmarkStart w:id="12" w:name="_Toc231159105"/>
      <w:r>
        <w:t>4.3 Suggested sources to mine</w:t>
      </w:r>
      <w:bookmarkEnd w:id="12"/>
    </w:p>
    <w:p w14:paraId="0F662B09" w14:textId="77777777" w:rsidR="00D10D43" w:rsidRDefault="00D10D43" w:rsidP="00D10D43">
      <w:pPr>
        <w:pStyle w:val="ListParagraph"/>
        <w:numPr>
          <w:ilvl w:val="0"/>
          <w:numId w:val="3"/>
        </w:numPr>
        <w:spacing w:after="80" w:line="276" w:lineRule="auto"/>
        <w:contextualSpacing w:val="0"/>
      </w:pPr>
      <w:r>
        <w:rPr>
          <w:b/>
          <w:bCs/>
        </w:rPr>
        <w:t xml:space="preserve">Open / citable: </w:t>
      </w:r>
      <w:proofErr w:type="spellStart"/>
      <w:r>
        <w:t>OpenTextBC</w:t>
      </w:r>
      <w:proofErr w:type="spellEnd"/>
      <w:r>
        <w:t xml:space="preserve"> / </w:t>
      </w:r>
      <w:proofErr w:type="spellStart"/>
      <w:r>
        <w:t>eCampusOntario</w:t>
      </w:r>
      <w:proofErr w:type="spellEnd"/>
      <w:r>
        <w:t xml:space="preserve"> “Meat Cutting and Processing for Food Service” (open-access, structured like reference data — composition, cut-by-region tenderness, method mapping).</w:t>
      </w:r>
    </w:p>
    <w:p w14:paraId="5D8DB1AA" w14:textId="77777777" w:rsidR="00D10D43" w:rsidRDefault="00D10D43" w:rsidP="00D10D43">
      <w:pPr>
        <w:pStyle w:val="ListParagraph"/>
        <w:numPr>
          <w:ilvl w:val="0"/>
          <w:numId w:val="3"/>
        </w:numPr>
        <w:spacing w:after="80" w:line="276" w:lineRule="auto"/>
        <w:contextualSpacing w:val="0"/>
      </w:pPr>
      <w:r>
        <w:rPr>
          <w:b/>
          <w:bCs/>
        </w:rPr>
        <w:t xml:space="preserve">Food-science canon: </w:t>
      </w:r>
      <w:r>
        <w:t xml:space="preserve">Harold McGee, On Food and Cooking (the chemistry/physics behind every rule); Nathan Myhrvold, Modernist Cuisine (parametric, near-machine-readable, treats cooking as controllable process — philosophically identical to </w:t>
      </w:r>
      <w:proofErr w:type="spellStart"/>
      <w:r>
        <w:t>Soupdog</w:t>
      </w:r>
      <w:proofErr w:type="spellEnd"/>
      <w:r>
        <w:t>).</w:t>
      </w:r>
    </w:p>
    <w:p w14:paraId="1FE5A5D8" w14:textId="77777777" w:rsidR="00D10D43" w:rsidRDefault="00D10D43" w:rsidP="00D10D43">
      <w:pPr>
        <w:pStyle w:val="ListParagraph"/>
        <w:numPr>
          <w:ilvl w:val="0"/>
          <w:numId w:val="3"/>
        </w:numPr>
        <w:spacing w:after="80" w:line="276" w:lineRule="auto"/>
        <w:contextualSpacing w:val="0"/>
      </w:pPr>
      <w:r>
        <w:rPr>
          <w:b/>
          <w:bCs/>
        </w:rPr>
        <w:lastRenderedPageBreak/>
        <w:t xml:space="preserve">Peer-reviewed: </w:t>
      </w:r>
      <w:r>
        <w:t>Meat Science (Elsevier) and Journal of Food Science for lab-grade collagen-solubility and thermal-denaturation data.</w:t>
      </w:r>
    </w:p>
    <w:p w14:paraId="48181633" w14:textId="77777777" w:rsidR="00D10D43" w:rsidRDefault="00D10D43" w:rsidP="00D10D43">
      <w:pPr>
        <w:pStyle w:val="ListParagraph"/>
        <w:numPr>
          <w:ilvl w:val="0"/>
          <w:numId w:val="3"/>
        </w:numPr>
        <w:spacing w:after="80" w:line="276" w:lineRule="auto"/>
        <w:contextualSpacing w:val="0"/>
      </w:pPr>
      <w:r>
        <w:rPr>
          <w:b/>
          <w:bCs/>
        </w:rPr>
        <w:t xml:space="preserve">Practitioner-rigorous: </w:t>
      </w:r>
      <w:r>
        <w:t xml:space="preserve">Serious Eats / Kenji López-Alt and </w:t>
      </w:r>
      <w:proofErr w:type="spellStart"/>
      <w:r>
        <w:t>AmazingRibs</w:t>
      </w:r>
      <w:proofErr w:type="spellEnd"/>
      <w:r>
        <w:t xml:space="preserve"> translate science into tested time/temperature thresholds — useful for the applier layer.</w:t>
      </w:r>
    </w:p>
    <w:p w14:paraId="5F188E59" w14:textId="77777777" w:rsidR="00D10D43" w:rsidRDefault="00D10D43" w:rsidP="00D10D43">
      <w:pPr>
        <w:pStyle w:val="Heading1"/>
      </w:pPr>
      <w:bookmarkStart w:id="13" w:name="_Toc231159106"/>
      <w:r>
        <w:t>5. Feedback and scoring loop</w:t>
      </w:r>
      <w:bookmarkEnd w:id="13"/>
    </w:p>
    <w:p w14:paraId="4C19D4C8" w14:textId="77777777" w:rsidR="00D10D43" w:rsidRDefault="00D10D43" w:rsidP="00D10D43">
      <w:pPr>
        <w:pStyle w:val="Heading2"/>
      </w:pPr>
      <w:bookmarkStart w:id="14" w:name="_Toc231159107"/>
      <w:r>
        <w:t>5.1 How knowledge flows in</w:t>
      </w:r>
      <w:bookmarkEnd w:id="14"/>
    </w:p>
    <w:p w14:paraId="1604DE71" w14:textId="77777777" w:rsidR="00D10D43" w:rsidRDefault="00D10D43" w:rsidP="00D10D43">
      <w:pPr>
        <w:spacing w:after="120" w:line="276" w:lineRule="auto"/>
      </w:pPr>
      <w:r>
        <w:t>The Core grows through a pipeline of increasing evidence quality, with AI directing where the expensive human effort goes:</w:t>
      </w:r>
    </w:p>
    <w:p w14:paraId="53D64A19" w14:textId="77777777" w:rsidR="00D10D43" w:rsidRDefault="00D10D43" w:rsidP="00D10D43">
      <w:pPr>
        <w:pStyle w:val="ListParagraph"/>
        <w:numPr>
          <w:ilvl w:val="0"/>
          <w:numId w:val="2"/>
        </w:numPr>
        <w:spacing w:after="80" w:line="276" w:lineRule="auto"/>
        <w:contextualSpacing w:val="0"/>
      </w:pPr>
      <w:r>
        <w:t>Seed from literature (</w:t>
      </w:r>
      <w:proofErr w:type="gramStart"/>
      <w:r>
        <w:t>E1) —</w:t>
      </w:r>
      <w:proofErr w:type="gramEnd"/>
      <w:r>
        <w:t xml:space="preserve"> mine the sources above into structured rules, human-reviewed.</w:t>
      </w:r>
    </w:p>
    <w:p w14:paraId="5EE591FF" w14:textId="77777777" w:rsidR="00D10D43" w:rsidRDefault="00D10D43" w:rsidP="00D10D43">
      <w:pPr>
        <w:pStyle w:val="ListParagraph"/>
        <w:numPr>
          <w:ilvl w:val="0"/>
          <w:numId w:val="2"/>
        </w:numPr>
        <w:spacing w:after="80" w:line="276" w:lineRule="auto"/>
        <w:contextualSpacing w:val="0"/>
      </w:pPr>
      <w:r>
        <w:t>Expert pass (</w:t>
      </w:r>
      <w:proofErr w:type="gramStart"/>
      <w:r>
        <w:t>E2) —</w:t>
      </w:r>
      <w:proofErr w:type="gramEnd"/>
      <w:r>
        <w:t xml:space="preserve"> hired chefs / food scientists fill gaps and correct, prioritized by the active-learning ranking.</w:t>
      </w:r>
    </w:p>
    <w:p w14:paraId="281ED993" w14:textId="77777777" w:rsidR="00D10D43" w:rsidRDefault="00D10D43" w:rsidP="00D10D43">
      <w:pPr>
        <w:pStyle w:val="ListParagraph"/>
        <w:numPr>
          <w:ilvl w:val="0"/>
          <w:numId w:val="2"/>
        </w:numPr>
        <w:spacing w:after="80" w:line="276" w:lineRule="auto"/>
        <w:contextualSpacing w:val="0"/>
      </w:pPr>
      <w:r>
        <w:t>Controlled tests (</w:t>
      </w:r>
      <w:proofErr w:type="gramStart"/>
      <w:r>
        <w:t>E3) —</w:t>
      </w:r>
      <w:proofErr w:type="gramEnd"/>
      <w:r>
        <w:t xml:space="preserve"> physical kitchen tests of the highest-value combinations, producing authoritative parameters.</w:t>
      </w:r>
    </w:p>
    <w:p w14:paraId="428DB27F" w14:textId="77777777" w:rsidR="00D10D43" w:rsidRDefault="00D10D43" w:rsidP="00D10D43">
      <w:pPr>
        <w:pStyle w:val="ListParagraph"/>
        <w:numPr>
          <w:ilvl w:val="0"/>
          <w:numId w:val="2"/>
        </w:numPr>
        <w:spacing w:after="80" w:line="276" w:lineRule="auto"/>
        <w:contextualSpacing w:val="0"/>
      </w:pPr>
      <w:r>
        <w:t>User feedback (</w:t>
      </w:r>
      <w:proofErr w:type="gramStart"/>
      <w:r>
        <w:t>U) —</w:t>
      </w:r>
      <w:proofErr w:type="gramEnd"/>
      <w:r>
        <w:t xml:space="preserve"> broad ratings to detect problems; structured deep interviews (incentivized, selected users) for attributable, parameter-level corrections.</w:t>
      </w:r>
    </w:p>
    <w:p w14:paraId="510580A9" w14:textId="77777777" w:rsidR="00D10D43" w:rsidRDefault="00D10D43" w:rsidP="00D10D43">
      <w:pPr>
        <w:pStyle w:val="Heading2"/>
      </w:pPr>
      <w:bookmarkStart w:id="15" w:name="_Toc231159108"/>
      <w:r>
        <w:t>5.2 Scoring — measure coverage and confidence, not a single “greatness” number</w:t>
      </w:r>
      <w:bookmarkEnd w:id="15"/>
    </w:p>
    <w:p w14:paraId="5B25BB05" w14:textId="77777777" w:rsidR="00D10D43" w:rsidRDefault="00D10D43" w:rsidP="00D10D43">
      <w:pPr>
        <w:spacing w:after="120" w:line="276" w:lineRule="auto"/>
      </w:pPr>
      <w:r>
        <w:rPr>
          <w:b/>
          <w:bCs/>
        </w:rPr>
        <w:t xml:space="preserve">A recommendation worth weighing. </w:t>
      </w:r>
      <w:r>
        <w:t>A single system-wide “closeness to greatness” KPI is appealing but risky: greatness is partly subjective and context-dependent (the same dish is not great for every skill level or palate — ratings should be contextual), and a scalar invites optimizing the metric instead of the food. The honest version is a coverage-and-confidence dashboard: what fraction of active recipes have expert-or-test-grade evidence on their key parameters. It captures the same ambition while staying grounded and hard to game.</w:t>
      </w:r>
    </w:p>
    <w:p w14:paraId="518490AC" w14:textId="77777777" w:rsidR="00D10D43" w:rsidRDefault="00D10D43" w:rsidP="00D10D43">
      <w:pPr>
        <w:spacing w:after="120" w:line="276" w:lineRule="auto"/>
      </w:pPr>
      <w:r>
        <w:t>Per-recipe, a “probability this is great” estimate is reasonable when defined as a function of evidence grade × coverage × (optionally) contextual feedback — i.e. it is mostly a readout of the provenance model, not a separate guess.</w:t>
      </w:r>
    </w:p>
    <w:p w14:paraId="65AEF8DD" w14:textId="77777777" w:rsidR="00D10D43" w:rsidRDefault="00D10D43" w:rsidP="00D10D43">
      <w:pPr>
        <w:pStyle w:val="Heading1"/>
      </w:pPr>
      <w:bookmarkStart w:id="16" w:name="_Toc231159109"/>
      <w:r>
        <w:t>6. Staged build plan</w:t>
      </w:r>
      <w:bookmarkEnd w:id="16"/>
    </w:p>
    <w:p w14:paraId="048E2316" w14:textId="77777777" w:rsidR="00D10D43" w:rsidRDefault="00D10D43" w:rsidP="00D10D43">
      <w:pPr>
        <w:spacing w:after="120" w:line="276" w:lineRule="auto"/>
      </w:pPr>
      <w:r>
        <w:t>Each stage ships something real and de-risks the next. Resist building the full pre-compute machine before anything is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1900"/>
        <w:gridCol w:w="2560"/>
      </w:tblGrid>
      <w:tr w:rsidR="00D10D43" w14:paraId="0B8B61E9" w14:textId="77777777" w:rsidTr="00541794">
        <w:tblPrEx>
          <w:tblCellMar>
            <w:top w:w="0" w:type="dxa"/>
            <w:bottom w:w="0" w:type="dxa"/>
          </w:tblCellMar>
        </w:tblPrEx>
        <w:trPr>
          <w:tblHeader/>
        </w:trPr>
        <w:tc>
          <w:tcPr>
            <w:tcW w:w="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BE4AC93" w14:textId="77777777" w:rsidR="00D10D43" w:rsidRDefault="00D10D43" w:rsidP="00541794">
            <w:r>
              <w:rPr>
                <w:b/>
                <w:bCs/>
                <w:color w:val="FFFFFF"/>
                <w:sz w:val="20"/>
                <w:szCs w:val="20"/>
              </w:rPr>
              <w:t>Stage</w:t>
            </w:r>
          </w:p>
        </w:tc>
        <w:tc>
          <w:tcPr>
            <w:tcW w:w="42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EBD7C56" w14:textId="77777777" w:rsidR="00D10D43" w:rsidRDefault="00D10D43" w:rsidP="00541794">
            <w:r>
              <w:rPr>
                <w:b/>
                <w:bCs/>
                <w:color w:val="FFFFFF"/>
                <w:sz w:val="20"/>
                <w:szCs w:val="20"/>
              </w:rPr>
              <w:t>Deliverable</w:t>
            </w:r>
          </w:p>
        </w:tc>
        <w:tc>
          <w:tcPr>
            <w:tcW w:w="19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7657CF86" w14:textId="77777777" w:rsidR="00D10D43" w:rsidRDefault="00D10D43" w:rsidP="00541794">
            <w:r>
              <w:rPr>
                <w:b/>
                <w:bCs/>
                <w:color w:val="FFFFFF"/>
                <w:sz w:val="20"/>
                <w:szCs w:val="20"/>
              </w:rPr>
              <w:t>AI cost</w:t>
            </w:r>
          </w:p>
        </w:tc>
        <w:tc>
          <w:tcPr>
            <w:tcW w:w="25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1C13141" w14:textId="77777777" w:rsidR="00D10D43" w:rsidRDefault="00D10D43" w:rsidP="00541794">
            <w:r>
              <w:rPr>
                <w:b/>
                <w:bCs/>
                <w:color w:val="FFFFFF"/>
                <w:sz w:val="20"/>
                <w:szCs w:val="20"/>
              </w:rPr>
              <w:t>De-risks</w:t>
            </w:r>
          </w:p>
        </w:tc>
      </w:tr>
      <w:tr w:rsidR="00D10D43" w14:paraId="76B6AB77" w14:textId="77777777" w:rsidTr="00541794">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D37CC35" w14:textId="77777777" w:rsidR="00D10D43" w:rsidRDefault="00D10D43" w:rsidP="00541794">
            <w:r>
              <w:rPr>
                <w:sz w:val="20"/>
                <w:szCs w:val="20"/>
              </w:rPr>
              <w:t>1</w:t>
            </w:r>
          </w:p>
        </w:tc>
        <w:tc>
          <w:tcPr>
            <w:tcW w:w="4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0A1FFAB" w14:textId="77777777" w:rsidR="00D10D43" w:rsidRDefault="00D10D43" w:rsidP="00541794">
            <w:r>
              <w:rPr>
                <w:sz w:val="20"/>
                <w:szCs w:val="20"/>
              </w:rPr>
              <w:t xml:space="preserve">Variant navigation UI + servings as view-time parameter (quantity regime, near-linear). Makes the existing stepper </w:t>
            </w:r>
            <w:proofErr w:type="gramStart"/>
            <w:r>
              <w:rPr>
                <w:sz w:val="20"/>
                <w:szCs w:val="20"/>
              </w:rPr>
              <w:t>actually rescale</w:t>
            </w:r>
            <w:proofErr w:type="gramEnd"/>
            <w:r>
              <w:rPr>
                <w:sz w:val="20"/>
                <w:szCs w:val="20"/>
              </w:rPr>
              <w:t>.</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41DA2B0C" w14:textId="77777777" w:rsidR="00D10D43" w:rsidRDefault="00D10D43" w:rsidP="00541794">
            <w:r>
              <w:rPr>
                <w:sz w:val="20"/>
                <w:szCs w:val="20"/>
              </w:rPr>
              <w:t>~None</w:t>
            </w:r>
          </w:p>
        </w:tc>
        <w:tc>
          <w:tcPr>
            <w:tcW w:w="25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9B242B9" w14:textId="77777777" w:rsidR="00D10D43" w:rsidRDefault="00D10D43" w:rsidP="00541794">
            <w:r>
              <w:rPr>
                <w:sz w:val="20"/>
                <w:szCs w:val="20"/>
              </w:rPr>
              <w:t>Proves navigation + variant data flow with no pipeline.</w:t>
            </w:r>
          </w:p>
        </w:tc>
      </w:tr>
      <w:tr w:rsidR="00D10D43" w14:paraId="10477522" w14:textId="77777777" w:rsidTr="00541794">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8DCE286" w14:textId="77777777" w:rsidR="00D10D43" w:rsidRDefault="00D10D43" w:rsidP="00541794">
            <w:r>
              <w:rPr>
                <w:sz w:val="20"/>
                <w:szCs w:val="20"/>
              </w:rPr>
              <w:t>2</w:t>
            </w:r>
          </w:p>
        </w:tc>
        <w:tc>
          <w:tcPr>
            <w:tcW w:w="4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2CEB16E8" w14:textId="77777777" w:rsidR="00D10D43" w:rsidRDefault="00D10D43" w:rsidP="00541794">
            <w:r>
              <w:rPr>
                <w:sz w:val="20"/>
                <w:szCs w:val="20"/>
              </w:rPr>
              <w:t>Rule schema with provenance/confidence + cut-family taxonomy for red meat (seeded from literature, E1).</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1DA8F28" w14:textId="77777777" w:rsidR="00D10D43" w:rsidRDefault="00D10D43" w:rsidP="00541794">
            <w:r>
              <w:rPr>
                <w:sz w:val="20"/>
                <w:szCs w:val="20"/>
              </w:rPr>
              <w:t>One-time (frontier, reviewed)</w:t>
            </w:r>
          </w:p>
        </w:tc>
        <w:tc>
          <w:tcPr>
            <w:tcW w:w="25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8B2D94F" w14:textId="77777777" w:rsidR="00D10D43" w:rsidRDefault="00D10D43" w:rsidP="00541794">
            <w:r>
              <w:rPr>
                <w:sz w:val="20"/>
                <w:szCs w:val="20"/>
              </w:rPr>
              <w:t>Proves the rule model as data.</w:t>
            </w:r>
          </w:p>
        </w:tc>
      </w:tr>
      <w:tr w:rsidR="00D10D43" w14:paraId="53F4B140" w14:textId="77777777" w:rsidTr="00541794">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20654D21" w14:textId="77777777" w:rsidR="00D10D43" w:rsidRDefault="00D10D43" w:rsidP="00541794">
            <w:r>
              <w:rPr>
                <w:sz w:val="20"/>
                <w:szCs w:val="20"/>
              </w:rPr>
              <w:t>3</w:t>
            </w:r>
          </w:p>
        </w:tc>
        <w:tc>
          <w:tcPr>
            <w:tcW w:w="4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94CB22B" w14:textId="77777777" w:rsidR="00D10D43" w:rsidRDefault="00D10D43" w:rsidP="00541794">
            <w:r>
              <w:rPr>
                <w:sz w:val="20"/>
                <w:szCs w:val="20"/>
              </w:rPr>
              <w:t xml:space="preserve">Deterministic applier: consume rules to produce doneness + scaling variants. Background generation (reuse the </w:t>
            </w:r>
            <w:proofErr w:type="spellStart"/>
            <w:r>
              <w:rPr>
                <w:sz w:val="20"/>
                <w:szCs w:val="20"/>
              </w:rPr>
              <w:t>cron</w:t>
            </w:r>
            <w:proofErr w:type="spellEnd"/>
            <w:r>
              <w:rPr>
                <w:sz w:val="20"/>
                <w:szCs w:val="20"/>
              </w:rPr>
              <w:t xml:space="preserve"> / service-role pattern).</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E5C0AE4" w14:textId="77777777" w:rsidR="00D10D43" w:rsidRDefault="00D10D43" w:rsidP="00541794">
            <w:r>
              <w:rPr>
                <w:sz w:val="20"/>
                <w:szCs w:val="20"/>
              </w:rPr>
              <w:t>Near-none per variant</w:t>
            </w:r>
          </w:p>
        </w:tc>
        <w:tc>
          <w:tcPr>
            <w:tcW w:w="25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C1A9C8D" w14:textId="77777777" w:rsidR="00D10D43" w:rsidRDefault="00D10D43" w:rsidP="00541794">
            <w:r>
              <w:rPr>
                <w:sz w:val="20"/>
                <w:szCs w:val="20"/>
              </w:rPr>
              <w:t>Proves rule → applier → cached variant end-to-end.</w:t>
            </w:r>
          </w:p>
        </w:tc>
      </w:tr>
      <w:tr w:rsidR="00D10D43" w14:paraId="37EB953F" w14:textId="77777777" w:rsidTr="00541794">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D40D0F8" w14:textId="77777777" w:rsidR="00D10D43" w:rsidRDefault="00D10D43" w:rsidP="00541794">
            <w:r>
              <w:rPr>
                <w:sz w:val="20"/>
                <w:szCs w:val="20"/>
              </w:rPr>
              <w:lastRenderedPageBreak/>
              <w:t>4</w:t>
            </w:r>
          </w:p>
        </w:tc>
        <w:tc>
          <w:tcPr>
            <w:tcW w:w="4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6A9DA96F" w14:textId="77777777" w:rsidR="00D10D43" w:rsidRDefault="00D10D43" w:rsidP="00541794">
            <w:r>
              <w:rPr>
                <w:sz w:val="20"/>
                <w:szCs w:val="20"/>
              </w:rPr>
              <w:t>On-demand generation for premium users (same applier, triggered live). Method-breakpoint variants.</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D7A0488" w14:textId="77777777" w:rsidR="00D10D43" w:rsidRDefault="00D10D43" w:rsidP="00541794">
            <w:r>
              <w:rPr>
                <w:sz w:val="20"/>
                <w:szCs w:val="20"/>
              </w:rPr>
              <w:t>Per request, cached</w:t>
            </w:r>
          </w:p>
        </w:tc>
        <w:tc>
          <w:tcPr>
            <w:tcW w:w="25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D0C9CE4" w14:textId="77777777" w:rsidR="00D10D43" w:rsidRDefault="00D10D43" w:rsidP="00541794">
            <w:r>
              <w:rPr>
                <w:sz w:val="20"/>
                <w:szCs w:val="20"/>
              </w:rPr>
              <w:t>Proves the premium path + caching.</w:t>
            </w:r>
          </w:p>
        </w:tc>
      </w:tr>
      <w:tr w:rsidR="00D10D43" w14:paraId="35526FA2" w14:textId="77777777" w:rsidTr="00541794">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63C95120" w14:textId="77777777" w:rsidR="00D10D43" w:rsidRDefault="00D10D43" w:rsidP="00541794">
            <w:r>
              <w:rPr>
                <w:sz w:val="20"/>
                <w:szCs w:val="20"/>
              </w:rPr>
              <w:t>5</w:t>
            </w:r>
          </w:p>
        </w:tc>
        <w:tc>
          <w:tcPr>
            <w:tcW w:w="42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3D3A1E27" w14:textId="77777777" w:rsidR="00D10D43" w:rsidRDefault="00D10D43" w:rsidP="00541794">
            <w:r>
              <w:rPr>
                <w:sz w:val="20"/>
                <w:szCs w:val="20"/>
              </w:rPr>
              <w:t>Feedback capture (attributable) + coverage/confidence dashboard + active-learning ranking for what to test.</w:t>
            </w:r>
          </w:p>
        </w:tc>
        <w:tc>
          <w:tcPr>
            <w:tcW w:w="190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79A39CB9" w14:textId="77777777" w:rsidR="00D10D43" w:rsidRDefault="00D10D43" w:rsidP="00541794">
            <w:r>
              <w:rPr>
                <w:sz w:val="20"/>
                <w:szCs w:val="20"/>
              </w:rPr>
              <w:t>Low (ranking)</w:t>
            </w:r>
          </w:p>
        </w:tc>
        <w:tc>
          <w:tcPr>
            <w:tcW w:w="2560" w:type="dxa"/>
            <w:tcBorders>
              <w:top w:val="single" w:sz="1" w:space="0" w:color="DAD7D1"/>
              <w:left w:val="single" w:sz="1" w:space="0" w:color="DAD7D1"/>
              <w:bottom w:val="single" w:sz="1" w:space="0" w:color="DAD7D1"/>
              <w:right w:val="single" w:sz="1" w:space="0" w:color="DAD7D1"/>
            </w:tcBorders>
            <w:tcMar>
              <w:top w:w="80" w:type="dxa"/>
              <w:left w:w="120" w:type="dxa"/>
              <w:bottom w:w="80" w:type="dxa"/>
              <w:right w:w="120" w:type="dxa"/>
            </w:tcMar>
          </w:tcPr>
          <w:p w14:paraId="14C06E41" w14:textId="77777777" w:rsidR="00D10D43" w:rsidRDefault="00D10D43" w:rsidP="00541794">
            <w:r>
              <w:rPr>
                <w:sz w:val="20"/>
                <w:szCs w:val="20"/>
              </w:rPr>
              <w:t>Closes the growth loop.</w:t>
            </w:r>
          </w:p>
        </w:tc>
      </w:tr>
      <w:tr w:rsidR="00D10D43" w14:paraId="64862BA2" w14:textId="77777777" w:rsidTr="00541794">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36916049" w14:textId="77777777" w:rsidR="00D10D43" w:rsidRDefault="00D10D43" w:rsidP="00541794">
            <w:r>
              <w:rPr>
                <w:sz w:val="20"/>
                <w:szCs w:val="20"/>
              </w:rPr>
              <w:t>6</w:t>
            </w:r>
          </w:p>
        </w:tc>
        <w:tc>
          <w:tcPr>
            <w:tcW w:w="42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0227A079" w14:textId="77777777" w:rsidR="00D10D43" w:rsidRDefault="00D10D43" w:rsidP="00541794">
            <w:r>
              <w:rPr>
                <w:sz w:val="20"/>
                <w:szCs w:val="20"/>
              </w:rPr>
              <w:t xml:space="preserve">Expert + controlled-test ingestion (E2/E3). </w:t>
            </w:r>
            <w:proofErr w:type="gramStart"/>
            <w:r>
              <w:rPr>
                <w:sz w:val="20"/>
                <w:szCs w:val="20"/>
              </w:rPr>
              <w:t>Widen to</w:t>
            </w:r>
            <w:proofErr w:type="gramEnd"/>
            <w:r>
              <w:rPr>
                <w:sz w:val="20"/>
                <w:szCs w:val="20"/>
              </w:rPr>
              <w:t xml:space="preserve"> poultry, fish, baking.</w:t>
            </w:r>
          </w:p>
        </w:tc>
        <w:tc>
          <w:tcPr>
            <w:tcW w:w="190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4543EE2A" w14:textId="77777777" w:rsidR="00D10D43" w:rsidRDefault="00D10D43" w:rsidP="00541794">
            <w:r>
              <w:rPr>
                <w:sz w:val="20"/>
                <w:szCs w:val="20"/>
              </w:rPr>
              <w:t>Human-led</w:t>
            </w:r>
          </w:p>
        </w:tc>
        <w:tc>
          <w:tcPr>
            <w:tcW w:w="2560" w:type="dxa"/>
            <w:tcBorders>
              <w:top w:val="single" w:sz="1" w:space="0" w:color="DAD7D1"/>
              <w:left w:val="single" w:sz="1" w:space="0" w:color="DAD7D1"/>
              <w:bottom w:val="single" w:sz="1" w:space="0" w:color="DAD7D1"/>
              <w:right w:val="single" w:sz="1" w:space="0" w:color="DAD7D1"/>
            </w:tcBorders>
            <w:shd w:val="clear" w:color="auto" w:fill="F7F6F2"/>
            <w:tcMar>
              <w:top w:w="80" w:type="dxa"/>
              <w:left w:w="120" w:type="dxa"/>
              <w:bottom w:w="80" w:type="dxa"/>
              <w:right w:w="120" w:type="dxa"/>
            </w:tcMar>
          </w:tcPr>
          <w:p w14:paraId="5A14A18B" w14:textId="77777777" w:rsidR="00D10D43" w:rsidRDefault="00D10D43" w:rsidP="00541794">
            <w:r>
              <w:rPr>
                <w:sz w:val="20"/>
                <w:szCs w:val="20"/>
              </w:rPr>
              <w:t>Scales the Core across domains.</w:t>
            </w:r>
          </w:p>
        </w:tc>
      </w:tr>
    </w:tbl>
    <w:p w14:paraId="0A44D366" w14:textId="77777777" w:rsidR="00D10D43" w:rsidRDefault="00D10D43" w:rsidP="00D10D43">
      <w:pPr>
        <w:spacing w:after="60"/>
      </w:pPr>
    </w:p>
    <w:p w14:paraId="0D6EB8F7" w14:textId="77777777" w:rsidR="00D10D43" w:rsidRDefault="00D10D43" w:rsidP="00D10D43">
      <w:pPr>
        <w:spacing w:after="120" w:line="276" w:lineRule="auto"/>
      </w:pPr>
      <w:r>
        <w:rPr>
          <w:b/>
          <w:bCs/>
        </w:rPr>
        <w:t xml:space="preserve">Pluggable generation. </w:t>
      </w:r>
      <w:r>
        <w:t>Design the variant-generation step as a swappable component from the start, so whether a given variant is produced by Haiku, a frontier model, a small/local model, or hard-coded rules is an implementation detail — not baked into the architecture. This keeps the local-model and cheaper-API options open without betting the design on any of them.</w:t>
      </w:r>
    </w:p>
    <w:p w14:paraId="6BBA8517" w14:textId="77777777" w:rsidR="00D10D43" w:rsidRDefault="00D10D43" w:rsidP="00D10D43">
      <w:pPr>
        <w:pStyle w:val="Heading1"/>
      </w:pPr>
      <w:bookmarkStart w:id="17" w:name="_Toc231159110"/>
      <w:r>
        <w:t>7. Open questions to resolve</w:t>
      </w:r>
      <w:bookmarkEnd w:id="17"/>
    </w:p>
    <w:p w14:paraId="6D90A762" w14:textId="77777777" w:rsidR="00D10D43" w:rsidRDefault="00D10D43" w:rsidP="00D10D43">
      <w:pPr>
        <w:pStyle w:val="ListParagraph"/>
        <w:numPr>
          <w:ilvl w:val="0"/>
          <w:numId w:val="2"/>
        </w:numPr>
        <w:spacing w:after="80" w:line="276" w:lineRule="auto"/>
        <w:contextualSpacing w:val="0"/>
      </w:pPr>
      <w:r>
        <w:t xml:space="preserve">Ownership model: is the Core proprietary </w:t>
      </w:r>
      <w:proofErr w:type="spellStart"/>
      <w:r>
        <w:t>Soupdog</w:t>
      </w:r>
      <w:proofErr w:type="spellEnd"/>
      <w:r>
        <w:t xml:space="preserve"> IP (built carefully, owned — the moat), or partly open / community-contributed? This changes how provenance, contribution rights, and feedback incentives are designed.</w:t>
      </w:r>
    </w:p>
    <w:p w14:paraId="61724752" w14:textId="77777777" w:rsidR="00D10D43" w:rsidRDefault="00D10D43" w:rsidP="00D10D43">
      <w:pPr>
        <w:pStyle w:val="ListParagraph"/>
        <w:numPr>
          <w:ilvl w:val="0"/>
          <w:numId w:val="2"/>
        </w:numPr>
        <w:spacing w:after="80" w:line="276" w:lineRule="auto"/>
        <w:contextualSpacing w:val="0"/>
      </w:pPr>
      <w:r>
        <w:t xml:space="preserve">Breakpoint definition: is the servings method-breakpoint declared </w:t>
      </w:r>
      <w:proofErr w:type="gramStart"/>
      <w:r>
        <w:t>per</w:t>
      </w:r>
      <w:proofErr w:type="gramEnd"/>
      <w:r>
        <w:t xml:space="preserve"> recipe by an author/expert, or inferred by the Core from mass/piece-count vs. equipment capacity — or both?</w:t>
      </w:r>
    </w:p>
    <w:p w14:paraId="78270434" w14:textId="77777777" w:rsidR="00D10D43" w:rsidRDefault="00D10D43" w:rsidP="00D10D43">
      <w:pPr>
        <w:pStyle w:val="ListParagraph"/>
        <w:numPr>
          <w:ilvl w:val="0"/>
          <w:numId w:val="2"/>
        </w:numPr>
        <w:spacing w:after="80" w:line="276" w:lineRule="auto"/>
        <w:contextualSpacing w:val="0"/>
      </w:pPr>
      <w:r>
        <w:t>Schema reconciliation: confirm the live database against the v2 tables this document assumes (</w:t>
      </w:r>
      <w:proofErr w:type="spellStart"/>
      <w:r>
        <w:t>execution_variants</w:t>
      </w:r>
      <w:proofErr w:type="spellEnd"/>
      <w:r>
        <w:t xml:space="preserve">, </w:t>
      </w:r>
      <w:proofErr w:type="spellStart"/>
      <w:r>
        <w:t>variant_ingredient_scaling</w:t>
      </w:r>
      <w:proofErr w:type="spellEnd"/>
      <w:r>
        <w:t xml:space="preserve">, </w:t>
      </w:r>
      <w:proofErr w:type="spellStart"/>
      <w:r>
        <w:t>variant_step_overrides</w:t>
      </w:r>
      <w:proofErr w:type="spellEnd"/>
      <w:r>
        <w:t xml:space="preserve">, </w:t>
      </w:r>
      <w:proofErr w:type="spellStart"/>
      <w:r>
        <w:t>preference_axes</w:t>
      </w:r>
      <w:proofErr w:type="spellEnd"/>
      <w:r>
        <w:t xml:space="preserve">, </w:t>
      </w:r>
      <w:proofErr w:type="spellStart"/>
      <w:r>
        <w:t>variant_preference_mappings</w:t>
      </w:r>
      <w:proofErr w:type="spellEnd"/>
      <w:r>
        <w:t>) before building Stage 1.</w:t>
      </w:r>
    </w:p>
    <w:p w14:paraId="0BD942EB" w14:textId="77777777" w:rsidR="00D10D43" w:rsidRDefault="00D10D43" w:rsidP="00D10D43">
      <w:pPr>
        <w:pStyle w:val="ListParagraph"/>
        <w:numPr>
          <w:ilvl w:val="0"/>
          <w:numId w:val="2"/>
        </w:numPr>
        <w:spacing w:after="80" w:line="276" w:lineRule="auto"/>
        <w:contextualSpacing w:val="0"/>
      </w:pPr>
      <w:r>
        <w:t>Cost instrumentation first: usage tracking (and the user/group/company model beneath it) should precede heavy variant generation, so cheap-vs-capable model decisions are data-driven rather than guessed.</w:t>
      </w:r>
    </w:p>
    <w:p w14:paraId="28E8E6F2" w14:textId="77777777" w:rsidR="00D10D43" w:rsidRDefault="00D10D43" w:rsidP="00D10D43">
      <w:pPr>
        <w:pStyle w:val="ListParagraph"/>
        <w:numPr>
          <w:ilvl w:val="0"/>
          <w:numId w:val="2"/>
        </w:numPr>
        <w:spacing w:after="80" w:line="276" w:lineRule="auto"/>
        <w:contextualSpacing w:val="0"/>
      </w:pPr>
      <w:r>
        <w:t>Greatness metric: confirm the coverage-and-confidence dashboard approach over a single greatness KPI — or define explicitly how a scalar would avoid being gamed.</w:t>
      </w:r>
    </w:p>
    <w:p w14:paraId="09F0A6E3" w14:textId="77777777" w:rsidR="00D10D43" w:rsidRDefault="00D10D43" w:rsidP="00D10D43">
      <w:pPr>
        <w:pBdr>
          <w:top w:val="single" w:sz="6" w:space="1" w:color="2E4638"/>
        </w:pBdr>
        <w:spacing w:before="240" w:after="120"/>
      </w:pPr>
    </w:p>
    <w:p w14:paraId="703F0530" w14:textId="77777777" w:rsidR="00D10D43" w:rsidRDefault="00D10D43" w:rsidP="00D10D43">
      <w:pPr>
        <w:spacing w:after="120" w:line="276" w:lineRule="auto"/>
      </w:pPr>
      <w:r>
        <w:rPr>
          <w:i/>
          <w:iCs/>
          <w:color w:val="6B6860"/>
          <w:sz w:val="20"/>
          <w:szCs w:val="20"/>
        </w:rPr>
        <w:t>End of draft v0.1. This document is meant to be argued with. The highest-value next step is resolving the open questions in section 7, then producing the Stage 2 rule schema as a concrete artifact.</w:t>
      </w:r>
    </w:p>
    <w:p w14:paraId="72805E79" w14:textId="77777777" w:rsidR="003D27E7" w:rsidRPr="00B23940" w:rsidRDefault="003D27E7" w:rsidP="00B23940"/>
    <w:sectPr w:rsidR="003D27E7" w:rsidRPr="00B23940" w:rsidSect="00B86D10">
      <w:headerReference w:type="default" r:id="rId10"/>
      <w:pgSz w:w="11906" w:h="16838" w:code="9"/>
      <w:pgMar w:top="184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C510D" w14:textId="77777777" w:rsidR="00604481" w:rsidRDefault="00604481" w:rsidP="0044208F">
      <w:r>
        <w:separator/>
      </w:r>
    </w:p>
  </w:endnote>
  <w:endnote w:type="continuationSeparator" w:id="0">
    <w:p w14:paraId="4DDAD091" w14:textId="77777777" w:rsidR="00604481" w:rsidRDefault="00604481" w:rsidP="00442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65B67" w14:textId="77777777" w:rsidR="00604481" w:rsidRDefault="00604481" w:rsidP="0044208F">
      <w:r>
        <w:separator/>
      </w:r>
    </w:p>
  </w:footnote>
  <w:footnote w:type="continuationSeparator" w:id="0">
    <w:p w14:paraId="142C25E4" w14:textId="77777777" w:rsidR="00604481" w:rsidRDefault="00604481" w:rsidP="00442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40E1" w14:textId="766A8EA3" w:rsidR="0044208F" w:rsidRDefault="00A127F7">
    <w:pPr>
      <w:pStyle w:val="Header"/>
    </w:pPr>
    <w:r w:rsidRPr="00A127F7">
      <w:rPr>
        <w:noProof/>
      </w:rPr>
      <mc:AlternateContent>
        <mc:Choice Requires="wps">
          <w:drawing>
            <wp:anchor distT="0" distB="0" distL="114300" distR="114300" simplePos="0" relativeHeight="251659264" behindDoc="0" locked="0" layoutInCell="1" allowOverlap="1" wp14:anchorId="7BED1AAA" wp14:editId="64F7C0A8">
              <wp:simplePos x="0" y="0"/>
              <wp:positionH relativeFrom="column">
                <wp:posOffset>526272</wp:posOffset>
              </wp:positionH>
              <wp:positionV relativeFrom="paragraph">
                <wp:posOffset>204973</wp:posOffset>
              </wp:positionV>
              <wp:extent cx="5781817" cy="0"/>
              <wp:effectExtent l="0" t="0" r="0" b="0"/>
              <wp:wrapNone/>
              <wp:docPr id="15" name="Straight Connector 14"/>
              <wp:cNvGraphicFramePr/>
              <a:graphic xmlns:a="http://schemas.openxmlformats.org/drawingml/2006/main">
                <a:graphicData uri="http://schemas.microsoft.com/office/word/2010/wordprocessingShape">
                  <wps:wsp>
                    <wps:cNvCnPr/>
                    <wps:spPr bwMode="auto">
                      <a:xfrm>
                        <a:off x="0" y="0"/>
                        <a:ext cx="5781817" cy="0"/>
                      </a:xfrm>
                      <a:prstGeom prst="line">
                        <a:avLst/>
                      </a:prstGeom>
                      <a:solidFill>
                        <a:schemeClr val="accent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anchor>
          </w:drawing>
        </mc:Choice>
        <mc:Fallback>
          <w:pict>
            <v:line w14:anchorId="34EC4D4B" id="Straight Connector 1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45pt,16.15pt" to="496.7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mKY1gEAAMYDAAAOAAAAZHJzL2Uyb0RvYy54bWysU9uOEzEMfUfiH6K80+mstGwZdboPW5YX&#10;LisBH+Amzkyk3JSknenf46QXdoEHhHiJHNuxfY5P1vezNeyAMWnvet4ulpyhE15qN/T8+7fHNyvO&#10;UgYnwXiHPT9i4veb16/WU+jwxo/eSIyMirjUTaHnY86ha5okRrSQFj6go6Dy0UKmaxwaGWGi6tY0&#10;N8vl22byUYboBaZE3u0pyDe1vlIo8helEmZmek6z5XrGeu7K2WzW0A0RwqjFeQz4hyksaEdNr6W2&#10;kIHto/6tlNUi+uRVXghvG6+UFlgxEJp2+QuaryMErFiInBSuNKX/V1Z8Pjy4p0g0TCF1KTxFtps+&#10;eUmrgn32FdOsoi3YaFo2V+qOV+pwzkyQ8/Zu1a7aO87EJdZAd3kYYsof0FtWjJ4b7Qoq6ODwMWVq&#10;TamXlOJO3mj5qI2pl6IEfDCRHYB2CEKgy23ZG716kWkcm0iC75a3tGgBJCZlIJNpg+x5cgNnYAZS&#10;qcixtn/xuiruZ588/7FHGXMLaTwNUwucJBT93skqphFBvneS5WMgEh2pnpe5LErODFL7YtXMDNr8&#10;TSYBNa5wgVXQZ84u+zptbuflsa6xKX4SS+XnLOyixud3sp9/v80PAAAA//8DAFBLAwQUAAYACAAA&#10;ACEA/lW5et0AAAAIAQAADwAAAGRycy9kb3ducmV2LnhtbEyPQU+EMBCF7yb+h2ZMvLlFMAaQsjGb&#10;mKgnd9eD3mbpCCidkraw6K+3xoMe37yX976p1osZxEzO95YVXK4SEMSN1T23Cp73dxc5CB+QNQ6W&#10;ScEneVjXpycVltoeeUvzLrQilrAvUUEXwlhK6ZuODPqVHYmj92adwRCla6V2eIzlZpBpklxLgz3H&#10;hQ5H2nTUfOwmo+B+Q2557/PXl6fHFOeH7Zcrpr1S52fL7Q2IQEv4C8MPfkSHOjId7MTai0FBnhYx&#10;qSBLMxDRL4rsCsTh9yDrSv5/oP4GAAD//wMAUEsBAi0AFAAGAAgAAAAhALaDOJL+AAAA4QEAABMA&#10;AAAAAAAAAAAAAAAAAAAAAFtDb250ZW50X1R5cGVzXS54bWxQSwECLQAUAAYACAAAACEAOP0h/9YA&#10;AACUAQAACwAAAAAAAAAAAAAAAAAvAQAAX3JlbHMvLnJlbHNQSwECLQAUAAYACAAAACEAt4ZimNYB&#10;AADGAwAADgAAAAAAAAAAAAAAAAAuAgAAZHJzL2Uyb0RvYy54bWxQSwECLQAUAAYACAAAACEA/lW5&#10;et0AAAAIAQAADwAAAAAAAAAAAAAAAAAwBAAAZHJzL2Rvd25yZXYueG1sUEsFBgAAAAAEAAQA8wAA&#10;ADoFAAAAAA==&#10;" filled="t" fillcolor="#5b9bd5 [3204]" strokecolor="black [3213]" strokeweight="1.5pt">
              <v:shadow color="#e7e6e6 [3214]"/>
            </v:line>
          </w:pict>
        </mc:Fallback>
      </mc:AlternateContent>
    </w:r>
    <w:r w:rsidR="00D10D43" w:rsidRPr="00D10D43">
      <w:drawing>
        <wp:inline distT="0" distB="0" distL="0" distR="0" wp14:anchorId="70EEEB23" wp14:editId="18BF9B86">
          <wp:extent cx="459079" cy="459079"/>
          <wp:effectExtent l="0" t="0" r="0" b="0"/>
          <wp:docPr id="11" name="Picture 10">
            <a:extLst xmlns:a="http://schemas.openxmlformats.org/drawingml/2006/main">
              <a:ext uri="{FF2B5EF4-FFF2-40B4-BE49-F238E27FC236}">
                <a16:creationId xmlns:a16="http://schemas.microsoft.com/office/drawing/2014/main" id="{EDDF4901-B7DC-D81D-4188-E6BD8D7BF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DDF4901-B7DC-D81D-4188-E6BD8D7BFFD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9079" cy="45907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46C5"/>
    <w:multiLevelType w:val="hybridMultilevel"/>
    <w:tmpl w:val="5DA62736"/>
    <w:lvl w:ilvl="0" w:tplc="C896B420">
      <w:start w:val="1"/>
      <w:numFmt w:val="decimal"/>
      <w:lvlText w:val="%1."/>
      <w:lvlJc w:val="left"/>
      <w:pPr>
        <w:ind w:left="540" w:hanging="280"/>
      </w:pPr>
    </w:lvl>
    <w:lvl w:ilvl="1" w:tplc="CBA639D2">
      <w:numFmt w:val="decimal"/>
      <w:lvlText w:val=""/>
      <w:lvlJc w:val="left"/>
    </w:lvl>
    <w:lvl w:ilvl="2" w:tplc="819E1DB6">
      <w:numFmt w:val="decimal"/>
      <w:lvlText w:val=""/>
      <w:lvlJc w:val="left"/>
    </w:lvl>
    <w:lvl w:ilvl="3" w:tplc="3FEA5F38">
      <w:numFmt w:val="decimal"/>
      <w:lvlText w:val=""/>
      <w:lvlJc w:val="left"/>
    </w:lvl>
    <w:lvl w:ilvl="4" w:tplc="61BE2674">
      <w:numFmt w:val="decimal"/>
      <w:lvlText w:val=""/>
      <w:lvlJc w:val="left"/>
    </w:lvl>
    <w:lvl w:ilvl="5" w:tplc="7B5010CA">
      <w:numFmt w:val="decimal"/>
      <w:lvlText w:val=""/>
      <w:lvlJc w:val="left"/>
    </w:lvl>
    <w:lvl w:ilvl="6" w:tplc="92CC0D2C">
      <w:numFmt w:val="decimal"/>
      <w:lvlText w:val=""/>
      <w:lvlJc w:val="left"/>
    </w:lvl>
    <w:lvl w:ilvl="7" w:tplc="AF746DD6">
      <w:numFmt w:val="decimal"/>
      <w:lvlText w:val=""/>
      <w:lvlJc w:val="left"/>
    </w:lvl>
    <w:lvl w:ilvl="8" w:tplc="1C100CB2">
      <w:numFmt w:val="decimal"/>
      <w:lvlText w:val=""/>
      <w:lvlJc w:val="left"/>
    </w:lvl>
  </w:abstractNum>
  <w:abstractNum w:abstractNumId="1" w15:restartNumberingAfterBreak="0">
    <w:nsid w:val="40A83170"/>
    <w:multiLevelType w:val="hybridMultilevel"/>
    <w:tmpl w:val="B882C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D5086F"/>
    <w:multiLevelType w:val="hybridMultilevel"/>
    <w:tmpl w:val="7F1616B2"/>
    <w:lvl w:ilvl="0" w:tplc="231AE960">
      <w:start w:val="1"/>
      <w:numFmt w:val="bullet"/>
      <w:lvlText w:val="•"/>
      <w:lvlJc w:val="left"/>
      <w:pPr>
        <w:ind w:left="540" w:hanging="280"/>
      </w:pPr>
    </w:lvl>
    <w:lvl w:ilvl="1" w:tplc="BE52D204">
      <w:start w:val="1"/>
      <w:numFmt w:val="bullet"/>
      <w:lvlText w:val="–"/>
      <w:lvlJc w:val="left"/>
      <w:pPr>
        <w:ind w:left="1080" w:hanging="280"/>
      </w:pPr>
    </w:lvl>
    <w:lvl w:ilvl="2" w:tplc="663C91A4">
      <w:numFmt w:val="decimal"/>
      <w:lvlText w:val=""/>
      <w:lvlJc w:val="left"/>
    </w:lvl>
    <w:lvl w:ilvl="3" w:tplc="C7385DA4">
      <w:numFmt w:val="decimal"/>
      <w:lvlText w:val=""/>
      <w:lvlJc w:val="left"/>
    </w:lvl>
    <w:lvl w:ilvl="4" w:tplc="F26E23EA">
      <w:numFmt w:val="decimal"/>
      <w:lvlText w:val=""/>
      <w:lvlJc w:val="left"/>
    </w:lvl>
    <w:lvl w:ilvl="5" w:tplc="550AD606">
      <w:numFmt w:val="decimal"/>
      <w:lvlText w:val=""/>
      <w:lvlJc w:val="left"/>
    </w:lvl>
    <w:lvl w:ilvl="6" w:tplc="2A00D0D0">
      <w:numFmt w:val="decimal"/>
      <w:lvlText w:val=""/>
      <w:lvlJc w:val="left"/>
    </w:lvl>
    <w:lvl w:ilvl="7" w:tplc="56429EE4">
      <w:numFmt w:val="decimal"/>
      <w:lvlText w:val=""/>
      <w:lvlJc w:val="left"/>
    </w:lvl>
    <w:lvl w:ilvl="8" w:tplc="120CB2EE">
      <w:numFmt w:val="decimal"/>
      <w:lvlText w:val=""/>
      <w:lvlJc w:val="left"/>
    </w:lvl>
  </w:abstractNum>
  <w:num w:numId="1" w16cid:durableId="275867311">
    <w:abstractNumId w:val="1"/>
  </w:num>
  <w:num w:numId="2" w16cid:durableId="1354721293">
    <w:abstractNumId w:val="0"/>
    <w:lvlOverride w:ilvl="0">
      <w:startOverride w:val="1"/>
    </w:lvlOverride>
  </w:num>
  <w:num w:numId="3" w16cid:durableId="3789408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43"/>
    <w:rsid w:val="00074739"/>
    <w:rsid w:val="00082E8F"/>
    <w:rsid w:val="000A7729"/>
    <w:rsid w:val="000C1548"/>
    <w:rsid w:val="000E2DE6"/>
    <w:rsid w:val="001176CB"/>
    <w:rsid w:val="00130170"/>
    <w:rsid w:val="001A358A"/>
    <w:rsid w:val="001C1321"/>
    <w:rsid w:val="001C2C2F"/>
    <w:rsid w:val="001F2A71"/>
    <w:rsid w:val="00200B54"/>
    <w:rsid w:val="0020764D"/>
    <w:rsid w:val="00223A4A"/>
    <w:rsid w:val="00223E14"/>
    <w:rsid w:val="00230558"/>
    <w:rsid w:val="00277BCE"/>
    <w:rsid w:val="002910D6"/>
    <w:rsid w:val="002A6FCE"/>
    <w:rsid w:val="002F110E"/>
    <w:rsid w:val="00305871"/>
    <w:rsid w:val="0037557E"/>
    <w:rsid w:val="003D27E7"/>
    <w:rsid w:val="003D7E85"/>
    <w:rsid w:val="0044208F"/>
    <w:rsid w:val="0046755E"/>
    <w:rsid w:val="00471325"/>
    <w:rsid w:val="004A47F1"/>
    <w:rsid w:val="004F7727"/>
    <w:rsid w:val="0050395B"/>
    <w:rsid w:val="00535738"/>
    <w:rsid w:val="005A49AE"/>
    <w:rsid w:val="005B7932"/>
    <w:rsid w:val="005F717F"/>
    <w:rsid w:val="00601CA7"/>
    <w:rsid w:val="00604481"/>
    <w:rsid w:val="00652CB7"/>
    <w:rsid w:val="006D38CC"/>
    <w:rsid w:val="007006B9"/>
    <w:rsid w:val="00721CF0"/>
    <w:rsid w:val="007514B2"/>
    <w:rsid w:val="007604C3"/>
    <w:rsid w:val="007826C2"/>
    <w:rsid w:val="007C7F60"/>
    <w:rsid w:val="007D094C"/>
    <w:rsid w:val="007D206B"/>
    <w:rsid w:val="007D4F26"/>
    <w:rsid w:val="00827A43"/>
    <w:rsid w:val="008812D6"/>
    <w:rsid w:val="0089409D"/>
    <w:rsid w:val="008C3AD2"/>
    <w:rsid w:val="00943310"/>
    <w:rsid w:val="00954403"/>
    <w:rsid w:val="00971636"/>
    <w:rsid w:val="00975EDF"/>
    <w:rsid w:val="00996FC9"/>
    <w:rsid w:val="009C1032"/>
    <w:rsid w:val="009D36EA"/>
    <w:rsid w:val="009E202D"/>
    <w:rsid w:val="00A127F7"/>
    <w:rsid w:val="00A53A33"/>
    <w:rsid w:val="00A57A5A"/>
    <w:rsid w:val="00B23940"/>
    <w:rsid w:val="00B258E2"/>
    <w:rsid w:val="00B423EF"/>
    <w:rsid w:val="00B62F46"/>
    <w:rsid w:val="00B86D10"/>
    <w:rsid w:val="00B90402"/>
    <w:rsid w:val="00C14D92"/>
    <w:rsid w:val="00C4043E"/>
    <w:rsid w:val="00C66BA3"/>
    <w:rsid w:val="00CA3FA0"/>
    <w:rsid w:val="00D10D43"/>
    <w:rsid w:val="00D36C88"/>
    <w:rsid w:val="00D37291"/>
    <w:rsid w:val="00D477CE"/>
    <w:rsid w:val="00D97E44"/>
    <w:rsid w:val="00DA5E4F"/>
    <w:rsid w:val="00DD0FFE"/>
    <w:rsid w:val="00DD1AED"/>
    <w:rsid w:val="00DF03C7"/>
    <w:rsid w:val="00E0195D"/>
    <w:rsid w:val="00E0355E"/>
    <w:rsid w:val="00E20498"/>
    <w:rsid w:val="00E226ED"/>
    <w:rsid w:val="00E358C6"/>
    <w:rsid w:val="00E4386F"/>
    <w:rsid w:val="00E65D37"/>
    <w:rsid w:val="00E9790A"/>
    <w:rsid w:val="00EA2971"/>
    <w:rsid w:val="00EB639B"/>
    <w:rsid w:val="00EE77F4"/>
    <w:rsid w:val="00F54091"/>
    <w:rsid w:val="00F679C7"/>
    <w:rsid w:val="00FD6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806CE"/>
  <w15:chartTrackingRefBased/>
  <w15:docId w15:val="{6807FB14-C910-46FA-A9CB-A0E7CDD0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D43"/>
    <w:pPr>
      <w:spacing w:after="0" w:line="240" w:lineRule="auto"/>
    </w:pPr>
    <w:rPr>
      <w:rFonts w:ascii="Calibri" w:eastAsia="Calibri" w:hAnsi="Calibri" w:cs="Calibri"/>
      <w:color w:val="1A1A1A"/>
    </w:rPr>
  </w:style>
  <w:style w:type="paragraph" w:styleId="Heading1">
    <w:name w:val="heading 1"/>
    <w:basedOn w:val="Normal"/>
    <w:next w:val="Normal"/>
    <w:link w:val="Heading1Char"/>
    <w:uiPriority w:val="9"/>
    <w:qFormat/>
    <w:rsid w:val="00D10D43"/>
    <w:pPr>
      <w:keepNext/>
      <w:keepLines/>
      <w:spacing w:before="240"/>
      <w:outlineLvl w:val="0"/>
    </w:pPr>
    <w:rPr>
      <w:rFonts w:ascii="Aptos Display" w:eastAsiaTheme="majorEastAsia" w:hAnsi="Aptos Display" w:cstheme="majorBidi"/>
      <w:color w:val="404040" w:themeColor="text1" w:themeTint="BF"/>
      <w:sz w:val="32"/>
      <w:szCs w:val="32"/>
    </w:rPr>
  </w:style>
  <w:style w:type="paragraph" w:styleId="Heading2">
    <w:name w:val="heading 2"/>
    <w:basedOn w:val="Normal"/>
    <w:next w:val="Normal"/>
    <w:link w:val="Heading2Char"/>
    <w:uiPriority w:val="9"/>
    <w:unhideWhenUsed/>
    <w:qFormat/>
    <w:rsid w:val="00D10D43"/>
    <w:pPr>
      <w:keepNext/>
      <w:keepLines/>
      <w:spacing w:before="40"/>
      <w:outlineLvl w:val="1"/>
    </w:pPr>
    <w:rPr>
      <w:rFonts w:ascii="Aptos Display" w:eastAsiaTheme="majorEastAsia" w:hAnsi="Aptos Display" w:cstheme="majorBidi"/>
      <w:sz w:val="26"/>
      <w:szCs w:val="26"/>
    </w:rPr>
  </w:style>
  <w:style w:type="paragraph" w:styleId="Heading3">
    <w:name w:val="heading 3"/>
    <w:basedOn w:val="Normal"/>
    <w:next w:val="Normal"/>
    <w:link w:val="Heading3Char"/>
    <w:uiPriority w:val="9"/>
    <w:semiHidden/>
    <w:unhideWhenUsed/>
    <w:qFormat/>
    <w:rsid w:val="00D36C88"/>
    <w:pPr>
      <w:keepNext/>
      <w:keepLines/>
      <w:spacing w:before="40"/>
      <w:outlineLvl w:val="2"/>
    </w:pPr>
    <w:rPr>
      <w:rFonts w:ascii="Aptos Display" w:eastAsiaTheme="majorEastAsia" w:hAnsi="Aptos Display"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08F"/>
    <w:pPr>
      <w:tabs>
        <w:tab w:val="center" w:pos="4680"/>
        <w:tab w:val="right" w:pos="9360"/>
      </w:tabs>
    </w:pPr>
  </w:style>
  <w:style w:type="character" w:customStyle="1" w:styleId="HeaderChar">
    <w:name w:val="Header Char"/>
    <w:basedOn w:val="DefaultParagraphFont"/>
    <w:link w:val="Header"/>
    <w:uiPriority w:val="99"/>
    <w:rsid w:val="0044208F"/>
  </w:style>
  <w:style w:type="paragraph" w:styleId="Footer">
    <w:name w:val="footer"/>
    <w:basedOn w:val="Normal"/>
    <w:link w:val="FooterChar"/>
    <w:uiPriority w:val="99"/>
    <w:unhideWhenUsed/>
    <w:rsid w:val="0044208F"/>
    <w:pPr>
      <w:tabs>
        <w:tab w:val="center" w:pos="4680"/>
        <w:tab w:val="right" w:pos="9360"/>
      </w:tabs>
    </w:pPr>
  </w:style>
  <w:style w:type="character" w:customStyle="1" w:styleId="FooterChar">
    <w:name w:val="Footer Char"/>
    <w:basedOn w:val="DefaultParagraphFont"/>
    <w:link w:val="Footer"/>
    <w:uiPriority w:val="99"/>
    <w:rsid w:val="0044208F"/>
  </w:style>
  <w:style w:type="character" w:customStyle="1" w:styleId="Heading1Char">
    <w:name w:val="Heading 1 Char"/>
    <w:basedOn w:val="DefaultParagraphFont"/>
    <w:link w:val="Heading1"/>
    <w:uiPriority w:val="9"/>
    <w:rsid w:val="00D10D43"/>
    <w:rPr>
      <w:rFonts w:ascii="Aptos Display" w:eastAsiaTheme="majorEastAsia" w:hAnsi="Aptos Display" w:cstheme="majorBidi"/>
      <w:color w:val="404040" w:themeColor="text1" w:themeTint="BF"/>
      <w:sz w:val="32"/>
      <w:szCs w:val="32"/>
    </w:rPr>
  </w:style>
  <w:style w:type="character" w:customStyle="1" w:styleId="Heading2Char">
    <w:name w:val="Heading 2 Char"/>
    <w:basedOn w:val="DefaultParagraphFont"/>
    <w:link w:val="Heading2"/>
    <w:uiPriority w:val="9"/>
    <w:rsid w:val="00D10D43"/>
    <w:rPr>
      <w:rFonts w:ascii="Aptos Display" w:eastAsiaTheme="majorEastAsia" w:hAnsi="Aptos Display" w:cstheme="majorBidi"/>
      <w:color w:val="1A1A1A"/>
      <w:sz w:val="26"/>
      <w:szCs w:val="26"/>
    </w:rPr>
  </w:style>
  <w:style w:type="paragraph" w:styleId="ListParagraph">
    <w:name w:val="List Paragraph"/>
    <w:basedOn w:val="Normal"/>
    <w:qFormat/>
    <w:rsid w:val="005B7932"/>
    <w:pPr>
      <w:ind w:left="720"/>
      <w:contextualSpacing/>
    </w:pPr>
  </w:style>
  <w:style w:type="table" w:styleId="TableGrid">
    <w:name w:val="Table Grid"/>
    <w:basedOn w:val="TableNormal"/>
    <w:uiPriority w:val="39"/>
    <w:rsid w:val="00E43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36C88"/>
    <w:rPr>
      <w:rFonts w:ascii="Aptos Display" w:eastAsiaTheme="majorEastAsia" w:hAnsi="Aptos Display" w:cstheme="majorBidi"/>
      <w:color w:val="1F4D78" w:themeColor="accent1" w:themeShade="7F"/>
      <w:sz w:val="24"/>
      <w:szCs w:val="24"/>
    </w:rPr>
  </w:style>
  <w:style w:type="paragraph" w:styleId="Title">
    <w:name w:val="Title"/>
    <w:basedOn w:val="Normal"/>
    <w:next w:val="Normal"/>
    <w:link w:val="TitleChar"/>
    <w:uiPriority w:val="10"/>
    <w:qFormat/>
    <w:rsid w:val="00D10D43"/>
    <w:pPr>
      <w:spacing w:after="60"/>
    </w:pPr>
    <w:rPr>
      <w:b/>
      <w:bCs/>
      <w:color w:val="2E4638"/>
      <w:sz w:val="56"/>
      <w:szCs w:val="56"/>
    </w:rPr>
  </w:style>
  <w:style w:type="character" w:customStyle="1" w:styleId="TitleChar">
    <w:name w:val="Title Char"/>
    <w:basedOn w:val="DefaultParagraphFont"/>
    <w:link w:val="Title"/>
    <w:uiPriority w:val="10"/>
    <w:rsid w:val="00D10D43"/>
    <w:rPr>
      <w:rFonts w:ascii="Calibri" w:eastAsia="Calibri" w:hAnsi="Calibri" w:cs="Calibri"/>
      <w:b/>
      <w:bCs/>
      <w:color w:val="2E4638"/>
      <w:sz w:val="56"/>
      <w:szCs w:val="56"/>
    </w:rPr>
  </w:style>
  <w:style w:type="paragraph" w:styleId="Subtitle">
    <w:name w:val="Subtitle"/>
    <w:basedOn w:val="Normal"/>
    <w:next w:val="Normal"/>
    <w:link w:val="SubtitleChar"/>
    <w:uiPriority w:val="11"/>
    <w:qFormat/>
    <w:rsid w:val="00D36C88"/>
    <w:pPr>
      <w:numPr>
        <w:ilvl w:val="1"/>
      </w:numPr>
    </w:pPr>
    <w:rPr>
      <w:rFonts w:ascii="Aptos Display" w:hAnsi="Aptos Display"/>
      <w:color w:val="5A5A5A" w:themeColor="text1" w:themeTint="A5"/>
      <w:spacing w:val="15"/>
    </w:rPr>
  </w:style>
  <w:style w:type="character" w:customStyle="1" w:styleId="SubtitleChar">
    <w:name w:val="Subtitle Char"/>
    <w:basedOn w:val="DefaultParagraphFont"/>
    <w:link w:val="Subtitle"/>
    <w:uiPriority w:val="11"/>
    <w:rsid w:val="00D36C88"/>
    <w:rPr>
      <w:rFonts w:ascii="Aptos Display" w:hAnsi="Aptos Display"/>
      <w:color w:val="5A5A5A" w:themeColor="text1" w:themeTint="A5"/>
      <w:spacing w:val="15"/>
    </w:rPr>
  </w:style>
  <w:style w:type="character" w:styleId="Emphasis">
    <w:name w:val="Emphasis"/>
    <w:basedOn w:val="DefaultParagraphFont"/>
    <w:uiPriority w:val="20"/>
    <w:qFormat/>
    <w:rsid w:val="00D36C88"/>
    <w:rPr>
      <w:rFonts w:ascii="Aptos" w:hAnsi="Aptos"/>
      <w:i/>
      <w:iCs/>
    </w:rPr>
  </w:style>
  <w:style w:type="character" w:styleId="IntenseEmphasis">
    <w:name w:val="Intense Emphasis"/>
    <w:basedOn w:val="DefaultParagraphFont"/>
    <w:uiPriority w:val="21"/>
    <w:qFormat/>
    <w:rsid w:val="00D36C88"/>
    <w:rPr>
      <w:rFonts w:ascii="Aptos" w:hAnsi="Aptos"/>
      <w:i/>
      <w:iCs/>
      <w:color w:val="5B9BD5" w:themeColor="accent1"/>
    </w:rPr>
  </w:style>
  <w:style w:type="character" w:styleId="Hyperlink">
    <w:name w:val="Hyperlink"/>
    <w:uiPriority w:val="99"/>
    <w:unhideWhenUsed/>
    <w:rsid w:val="00D10D43"/>
    <w:rPr>
      <w:color w:val="0563C1"/>
      <w:u w:val="single"/>
    </w:rPr>
  </w:style>
  <w:style w:type="paragraph" w:styleId="TOC1">
    <w:name w:val="toc 1"/>
    <w:basedOn w:val="Normal"/>
    <w:next w:val="Normal"/>
    <w:autoRedefine/>
    <w:uiPriority w:val="39"/>
    <w:unhideWhenUsed/>
    <w:rsid w:val="00D10D43"/>
    <w:pPr>
      <w:spacing w:after="100"/>
    </w:pPr>
  </w:style>
  <w:style w:type="paragraph" w:styleId="TOC2">
    <w:name w:val="toc 2"/>
    <w:basedOn w:val="Normal"/>
    <w:next w:val="Normal"/>
    <w:autoRedefine/>
    <w:uiPriority w:val="39"/>
    <w:unhideWhenUsed/>
    <w:rsid w:val="00D10D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7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Files\LeWorks\Content%20-%20Shared\Templates\LE%20WORKS%20empt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0a082e1-dac6-407d-be85-e2b809184103" xsi:nil="true"/>
    <lcf76f155ced4ddcb4097134ff3c332f xmlns="889e5c6e-7da0-48be-8686-f23ad8bbc1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1A98CD-7D0B-404C-8C83-794CB26E2433}">
  <ds:schemaRefs>
    <ds:schemaRef ds:uri="http://schemas.microsoft.com/sharepoint/v3/contenttype/forms"/>
  </ds:schemaRefs>
</ds:datastoreItem>
</file>

<file path=customXml/itemProps2.xml><?xml version="1.0" encoding="utf-8"?>
<ds:datastoreItem xmlns:ds="http://schemas.openxmlformats.org/officeDocument/2006/customXml" ds:itemID="{CE8703CA-BE5A-4ACD-A8BE-D37D0706DEA0}"/>
</file>

<file path=customXml/itemProps3.xml><?xml version="1.0" encoding="utf-8"?>
<ds:datastoreItem xmlns:ds="http://schemas.openxmlformats.org/officeDocument/2006/customXml" ds:itemID="{9842F29C-F88E-40AC-A636-FC07F96FFB44}">
  <ds:schemaRefs>
    <ds:schemaRef ds:uri="http://schemas.microsoft.com/office/2006/metadata/properties"/>
    <ds:schemaRef ds:uri="http://schemas.microsoft.com/office/infopath/2007/PartnerControls"/>
    <ds:schemaRef ds:uri="2c108349-6a3a-40c0-ab6f-4694cf720500"/>
    <ds:schemaRef ds:uri="a4a3dd98-9d3f-4d22-a849-6bd98e31c189"/>
  </ds:schemaRefs>
</ds:datastoreItem>
</file>

<file path=docProps/app.xml><?xml version="1.0" encoding="utf-8"?>
<Properties xmlns="http://schemas.openxmlformats.org/officeDocument/2006/extended-properties" xmlns:vt="http://schemas.openxmlformats.org/officeDocument/2006/docPropsVTypes">
  <Template>LE WORKS empty.dotx</Template>
  <TotalTime>1</TotalTime>
  <Pages>8</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Rasmusson</dc:creator>
  <cp:keywords/>
  <dc:description/>
  <cp:lastModifiedBy>Rasmus Rasmusson</cp:lastModifiedBy>
  <cp:revision>1</cp:revision>
  <cp:lastPrinted>2018-09-12T06:25:00Z</cp:lastPrinted>
  <dcterms:created xsi:type="dcterms:W3CDTF">2026-05-31T14:32:00Z</dcterms:created>
  <dcterms:modified xsi:type="dcterms:W3CDTF">2026-05-31T14:33:00Z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y fmtid="{D5CDD505-2E9C-101B-9397-08002B2CF9AE}" pid="3" name="MediaServiceImageTags">
    <vt:lpwstr/>
  </property>
</Properties>
</file>