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B8DA7" w14:textId="77777777" w:rsidR="00A37EC3" w:rsidRDefault="00107C1C">
      <w:pPr>
        <w:spacing w:after="60"/>
      </w:pPr>
      <w:r>
        <w:rPr>
          <w:b/>
          <w:bCs/>
          <w:color w:val="2E4638"/>
          <w:sz w:val="28"/>
          <w:szCs w:val="28"/>
        </w:rPr>
        <w:t>Soupdog</w:t>
      </w:r>
    </w:p>
    <w:p w14:paraId="1D963083" w14:textId="77777777" w:rsidR="00A37EC3" w:rsidRDefault="00107C1C">
      <w:pPr>
        <w:spacing w:after="40"/>
      </w:pPr>
      <w:r>
        <w:rPr>
          <w:b/>
          <w:bCs/>
          <w:sz w:val="44"/>
          <w:szCs w:val="44"/>
        </w:rPr>
        <w:t>The Demand Model</w:t>
      </w:r>
    </w:p>
    <w:p w14:paraId="25CFDA33" w14:textId="77777777" w:rsidR="00A37EC3" w:rsidRDefault="00107C1C">
      <w:pPr>
        <w:spacing w:after="40"/>
      </w:pPr>
      <w:r>
        <w:rPr>
          <w:color w:val="6B6860"/>
          <w:sz w:val="26"/>
          <w:szCs w:val="26"/>
        </w:rPr>
        <w:t>What a person needs and wants to eat — and how a meal is matched and plated to it</w:t>
      </w:r>
    </w:p>
    <w:p w14:paraId="31F28A61" w14:textId="77777777" w:rsidR="00A37EC3" w:rsidRDefault="00107C1C">
      <w:pPr>
        <w:spacing w:after="220"/>
      </w:pPr>
      <w:r>
        <w:rPr>
          <w:i/>
          <w:iCs/>
          <w:color w:val="6B6860"/>
        </w:rPr>
        <w:t>Design specification · v0.3 · Draft for review · June 2026</w:t>
      </w:r>
    </w:p>
    <w:p w14:paraId="40B37964" w14:textId="77777777" w:rsidR="00A37EC3" w:rsidRDefault="00107C1C">
      <w:pPr>
        <w:spacing w:after="140" w:line="276" w:lineRule="auto"/>
      </w:pPr>
      <w:r>
        <w:rPr>
          <w:b/>
          <w:bCs/>
        </w:rPr>
        <w:t xml:space="preserve">Status. </w:t>
      </w:r>
      <w:r>
        <w:t xml:space="preserve">A design document, not an implementation plan to execute yet. It defines how Soupdog represents a person’s food </w:t>
      </w:r>
      <w:r>
        <w:rPr>
          <w:i/>
          <w:iCs/>
        </w:rPr>
        <w:t>demand</w:t>
      </w:r>
      <w:r>
        <w:t xml:space="preserve"> — the nutrition and fullness they need and want at an eating occasion — how that demand is resolved even when we know little, how a meal is matched to it, and how a single shared dish is </w:t>
      </w:r>
      <w:r>
        <w:rPr>
          <w:i/>
          <w:iCs/>
        </w:rPr>
        <w:t>plated</w:t>
      </w:r>
      <w:r>
        <w:t xml:space="preserve"> differently for each person at the table. A companion document (</w:t>
      </w:r>
      <w:r>
        <w:rPr>
          <w:i/>
          <w:iCs/>
        </w:rPr>
        <w:t>Content Provisioning &amp; Budget</w:t>
      </w:r>
      <w:r>
        <w:t xml:space="preserve">, “Doc B”) covers what happens when no suitable recipe exists. Open questions are flagged </w:t>
      </w:r>
      <w:r>
        <w:rPr>
          <w:b/>
          <w:bCs/>
          <w:color w:val="2E4638"/>
        </w:rPr>
        <w:t xml:space="preserve">[OPEN] </w:t>
      </w:r>
      <w:r>
        <w:t>and colle</w:t>
      </w:r>
      <w:r>
        <w:t>cted at the end.</w:t>
      </w:r>
    </w:p>
    <w:p w14:paraId="4044B61D" w14:textId="77777777" w:rsidR="00A37EC3" w:rsidRDefault="00107C1C">
      <w:pPr>
        <w:spacing w:after="140" w:line="276" w:lineRule="auto"/>
      </w:pPr>
      <w:r>
        <w:rPr>
          <w:b/>
          <w:bCs/>
        </w:rPr>
        <w:t xml:space="preserve">What changed since v0.2. </w:t>
      </w:r>
      <w:r>
        <w:t xml:space="preserve">Three resolutions. (1) The recommendation now blends </w:t>
      </w:r>
      <w:r>
        <w:rPr>
          <w:b/>
          <w:bCs/>
        </w:rPr>
        <w:t>three orthogonal signals</w:t>
      </w:r>
      <w:r>
        <w:t xml:space="preserve"> — is it </w:t>
      </w:r>
      <w:r>
        <w:rPr>
          <w:i/>
          <w:iCs/>
        </w:rPr>
        <w:t>correct</w:t>
      </w:r>
      <w:r>
        <w:t xml:space="preserve"> (evidence grade), will </w:t>
      </w:r>
      <w:r>
        <w:rPr>
          <w:i/>
          <w:iCs/>
        </w:rPr>
        <w:t>this person</w:t>
      </w:r>
      <w:r>
        <w:t xml:space="preserve"> enjoy it (a behavioural, Spotify-style </w:t>
      </w:r>
      <w:r>
        <w:rPr>
          <w:b/>
          <w:bCs/>
        </w:rPr>
        <w:t>taste-match</w:t>
      </w:r>
      <w:r>
        <w:t xml:space="preserve">, which absorbs the old “want” axis), and does it </w:t>
      </w:r>
      <w:r>
        <w:rPr>
          <w:i/>
          <w:iCs/>
        </w:rPr>
        <w:t>satisfy and nourish</w:t>
      </w:r>
      <w:r>
        <w:t xml:space="preserve"> (the harmony of satiety × nutrition). (2) </w:t>
      </w:r>
      <w:r>
        <w:rPr>
          <w:b/>
          <w:bCs/>
        </w:rPr>
        <w:t>Satiety is treated as a near-constraint, nutrition as the optimisation target</w:t>
      </w:r>
      <w:r>
        <w:t xml:space="preserve"> — never recommend something that leaves a person unsatisfied; close nutrition gaps through content creation, not by serving joyless food. (3) T</w:t>
      </w:r>
      <w:r>
        <w:t>he butler’s questions surface as an optional, host-opened popover by the menu — pull, not push.</w:t>
      </w:r>
    </w:p>
    <w:p w14:paraId="270B46A3" w14:textId="77777777" w:rsidR="00A37EC3" w:rsidRDefault="00107C1C">
      <w:pPr>
        <w:pStyle w:val="Heading1"/>
      </w:pPr>
      <w:r>
        <w:t>1. Premise: a chef who knows you, not a diet app</w:t>
      </w:r>
    </w:p>
    <w:p w14:paraId="76A1955B" w14:textId="77777777" w:rsidR="00A37EC3" w:rsidRDefault="00107C1C">
      <w:pPr>
        <w:spacing w:after="140" w:line="276" w:lineRule="auto"/>
      </w:pPr>
      <w:r>
        <w:t xml:space="preserve">Most nutrition software optimises for what a person </w:t>
      </w:r>
      <w:r>
        <w:rPr>
          <w:i/>
          <w:iCs/>
        </w:rPr>
        <w:t>should</w:t>
      </w:r>
      <w:r>
        <w:t xml:space="preserve"> eat and ignores what they </w:t>
      </w:r>
      <w:r>
        <w:rPr>
          <w:i/>
          <w:iCs/>
        </w:rPr>
        <w:t>want</w:t>
      </w:r>
      <w:r>
        <w:t>. People comply for a few weeks, feel deprived, and leave — so it helps no one. Soupdog behaves like a good personal chef: it knows you will have the dessert and plans around that, rather than forbidding it.</w:t>
      </w:r>
    </w:p>
    <w:p w14:paraId="2FEBC277" w14:textId="77777777" w:rsidR="00A37EC3" w:rsidRDefault="00107C1C">
      <w:pPr>
        <w:spacing w:after="140" w:line="276" w:lineRule="auto"/>
      </w:pPr>
      <w:r>
        <w:t xml:space="preserve">The unit we steward is the </w:t>
      </w:r>
      <w:r>
        <w:rPr>
          <w:b/>
          <w:bCs/>
        </w:rPr>
        <w:t>pattern</w:t>
      </w:r>
      <w:r>
        <w:t xml:space="preserve"> — the day, the week, the life — not the individual plate. A single meal has no health value in isolation; only a pattern does. A croissant inside an otherwise good week is part of a good life. Stewarding the pattern is at once the most ethical framing, the most accurate one, and the most commercially powerful — a person who trusts Soupdog for what to eat is served for years. That trust is an asset and an obligation: no dark patterns, no engagement maximising against wellbeing, real care for vulnerab</w:t>
      </w:r>
      <w:r>
        <w:t>le users.</w:t>
      </w:r>
    </w:p>
    <w:p w14:paraId="02901332" w14:textId="77777777" w:rsidR="00A37EC3" w:rsidRDefault="00107C1C">
      <w:pPr>
        <w:pStyle w:val="Heading1"/>
      </w:pPr>
      <w:r>
        <w:t>2. Design tenets</w:t>
      </w:r>
    </w:p>
    <w:p w14:paraId="6C3D0EF9" w14:textId="77777777" w:rsidR="00A37EC3" w:rsidRDefault="00107C1C">
      <w:pPr>
        <w:pStyle w:val="ListParagraph"/>
        <w:numPr>
          <w:ilvl w:val="0"/>
          <w:numId w:val="2"/>
        </w:numPr>
        <w:spacing w:after="80" w:line="268" w:lineRule="auto"/>
      </w:pPr>
      <w:r>
        <w:rPr>
          <w:b/>
          <w:bCs/>
        </w:rPr>
        <w:t xml:space="preserve">Steward the pattern, not the plate. </w:t>
      </w:r>
      <w:r>
        <w:t>The day / week / life is the unit. Never score a single meal as “bad.”</w:t>
      </w:r>
    </w:p>
    <w:p w14:paraId="7D744DEF" w14:textId="77777777" w:rsidR="00A37EC3" w:rsidRDefault="00107C1C">
      <w:pPr>
        <w:pStyle w:val="ListParagraph"/>
        <w:numPr>
          <w:ilvl w:val="0"/>
          <w:numId w:val="2"/>
        </w:numPr>
        <w:spacing w:after="80" w:line="268" w:lineRule="auto"/>
      </w:pPr>
      <w:r>
        <w:rPr>
          <w:b/>
          <w:bCs/>
        </w:rPr>
        <w:t xml:space="preserve">Satiety × nutrition, meeting at “green.” </w:t>
      </w:r>
      <w:r>
        <w:t xml:space="preserve">A good meal both satisfies (feeling) and nourishes (need). We recommend meals where the two meet; the nudge lives in what we </w:t>
      </w:r>
      <w:r>
        <w:rPr>
          <w:i/>
          <w:iCs/>
        </w:rPr>
        <w:t>offer</w:t>
      </w:r>
      <w:r>
        <w:t>, not in what we flag.</w:t>
      </w:r>
    </w:p>
    <w:p w14:paraId="71DEB4BF" w14:textId="77777777" w:rsidR="00A37EC3" w:rsidRDefault="00107C1C">
      <w:pPr>
        <w:pStyle w:val="ListParagraph"/>
        <w:numPr>
          <w:ilvl w:val="0"/>
          <w:numId w:val="2"/>
        </w:numPr>
        <w:spacing w:after="80" w:line="268" w:lineRule="auto"/>
      </w:pPr>
      <w:r>
        <w:rPr>
          <w:b/>
          <w:bCs/>
        </w:rPr>
        <w:t xml:space="preserve">Enjoyment is the deciding third — the person decides. </w:t>
      </w:r>
      <w:r>
        <w:t>Need and satiety are inputs; desire is real and sometimes wins. Soupdog learns taste from behaviour (like a music service) and makes the easy, appealing default also the good one — then lets the person choose.</w:t>
      </w:r>
    </w:p>
    <w:p w14:paraId="07C8E506" w14:textId="77777777" w:rsidR="00A37EC3" w:rsidRDefault="00107C1C">
      <w:pPr>
        <w:pStyle w:val="ListParagraph"/>
        <w:numPr>
          <w:ilvl w:val="0"/>
          <w:numId w:val="2"/>
        </w:numPr>
        <w:spacing w:after="80" w:line="268" w:lineRule="auto"/>
      </w:pPr>
      <w:r>
        <w:rPr>
          <w:b/>
          <w:bCs/>
        </w:rPr>
        <w:lastRenderedPageBreak/>
        <w:t xml:space="preserve">Cascade of knowledge, butler’s restraint. </w:t>
      </w:r>
      <w:r>
        <w:t xml:space="preserve">Resolve every input from best-known to population-average (§4). When unsure, ask </w:t>
      </w:r>
      <w:r>
        <w:rPr>
          <w:i/>
          <w:iCs/>
        </w:rPr>
        <w:t>one</w:t>
      </w:r>
      <w:r>
        <w:t xml:space="preserve"> good question in a butler’s voice or guess gently — and say so. Never over-ask; never police.</w:t>
      </w:r>
    </w:p>
    <w:p w14:paraId="4106BE5E" w14:textId="77777777" w:rsidR="00A37EC3" w:rsidRDefault="00107C1C">
      <w:pPr>
        <w:pStyle w:val="ListParagraph"/>
        <w:numPr>
          <w:ilvl w:val="0"/>
          <w:numId w:val="2"/>
        </w:numPr>
        <w:spacing w:after="80" w:line="268" w:lineRule="auto"/>
      </w:pPr>
      <w:r>
        <w:rPr>
          <w:b/>
          <w:bCs/>
        </w:rPr>
        <w:t xml:space="preserve">Encourage, never shame. </w:t>
      </w:r>
      <w:r>
        <w:t>A wellbeing rule as much as a UX one. No guilt, no red “failure” stamps. When signals are ambiguous, say less; never police intake; extra care for users who may have a disordered relationship with food.</w:t>
      </w:r>
    </w:p>
    <w:p w14:paraId="3AC1F5EA" w14:textId="77777777" w:rsidR="00A37EC3" w:rsidRDefault="00107C1C">
      <w:pPr>
        <w:pStyle w:val="ListParagraph"/>
        <w:numPr>
          <w:ilvl w:val="0"/>
          <w:numId w:val="2"/>
        </w:numPr>
        <w:spacing w:after="80" w:line="268" w:lineRule="auto"/>
      </w:pPr>
      <w:r>
        <w:rPr>
          <w:b/>
          <w:bCs/>
        </w:rPr>
        <w:t xml:space="preserve">Goal-agnostic by default. </w:t>
      </w:r>
      <w:r>
        <w:t>Someone who has told us nothing gets “a satisfying, reasonably balanced meal,” not an imposed deficit. Goals (loss, maintenance, performance, medical) are opt-in.</w:t>
      </w:r>
    </w:p>
    <w:p w14:paraId="3E03DCB6" w14:textId="77777777" w:rsidR="00A37EC3" w:rsidRDefault="00107C1C">
      <w:pPr>
        <w:pStyle w:val="ListParagraph"/>
        <w:numPr>
          <w:ilvl w:val="0"/>
          <w:numId w:val="2"/>
        </w:numPr>
        <w:spacing w:after="80" w:line="268" w:lineRule="auto"/>
      </w:pPr>
      <w:r>
        <w:rPr>
          <w:b/>
          <w:bCs/>
        </w:rPr>
        <w:t xml:space="preserve">Honest about confidence. </w:t>
      </w:r>
      <w:r>
        <w:t xml:space="preserve">Every requirement, match, and plating recommendation carries the confidence of the data behind it, expressed with the Food Model’s existing </w:t>
      </w:r>
      <w:r>
        <w:rPr>
          <w:i/>
          <w:iCs/>
        </w:rPr>
        <w:t>evidence grade</w:t>
      </w:r>
      <w:r>
        <w:t>. When we are guessing, we say less and nudge softer.</w:t>
      </w:r>
    </w:p>
    <w:p w14:paraId="35370FA1" w14:textId="77777777" w:rsidR="00A37EC3" w:rsidRDefault="00107C1C">
      <w:pPr>
        <w:pStyle w:val="Heading1"/>
      </w:pPr>
      <w:r>
        <w:t>3. The model in one picture</w:t>
      </w:r>
    </w:p>
    <w:p w14:paraId="1C5F6157" w14:textId="77777777" w:rsidR="00A37EC3" w:rsidRDefault="00107C1C">
      <w:pPr>
        <w:spacing w:after="140" w:line="276" w:lineRule="auto"/>
      </w:pPr>
      <w:r>
        <w:t>For an eating occasion, the model runs four steps:</w:t>
      </w:r>
    </w:p>
    <w:p w14:paraId="122615E2" w14:textId="77777777" w:rsidR="00A37EC3" w:rsidRDefault="00107C1C">
      <w:pPr>
        <w:pStyle w:val="ListParagraph"/>
        <w:numPr>
          <w:ilvl w:val="0"/>
          <w:numId w:val="3"/>
        </w:numPr>
        <w:spacing w:after="80" w:line="268" w:lineRule="auto"/>
      </w:pPr>
      <w:r>
        <w:rPr>
          <w:b/>
          <w:bCs/>
        </w:rPr>
        <w:t xml:space="preserve">Requirement. </w:t>
      </w:r>
      <w:r>
        <w:t>For each participant, what does this occasion need to deliver — energy, key nutrients, and a fullness (satiety) need? Each input is resolved through the knowledge cascade (§4).</w:t>
      </w:r>
    </w:p>
    <w:p w14:paraId="5A223952" w14:textId="77777777" w:rsidR="00A37EC3" w:rsidRDefault="00107C1C">
      <w:pPr>
        <w:pStyle w:val="ListParagraph"/>
        <w:numPr>
          <w:ilvl w:val="0"/>
          <w:numId w:val="3"/>
        </w:numPr>
        <w:spacing w:after="80" w:line="268" w:lineRule="auto"/>
      </w:pPr>
      <w:r>
        <w:rPr>
          <w:b/>
          <w:bCs/>
        </w:rPr>
        <w:t xml:space="preserve">Match. </w:t>
      </w:r>
      <w:r>
        <w:t>Across the meals we could serve (composed of dishes/components, each carrying cooking-adjusted nutrition and a satiety estimate), which best fits the participants? Scored by three orthogonal signals — correctness (evidence grade), taste-match (will they enjoy it), and harmony (satiety × nutrition) — blended satiety-first (§6).</w:t>
      </w:r>
    </w:p>
    <w:p w14:paraId="6DFDDDCC" w14:textId="77777777" w:rsidR="00A37EC3" w:rsidRDefault="00107C1C">
      <w:pPr>
        <w:pStyle w:val="ListParagraph"/>
        <w:numPr>
          <w:ilvl w:val="0"/>
          <w:numId w:val="3"/>
        </w:numPr>
        <w:spacing w:after="80" w:line="268" w:lineRule="auto"/>
      </w:pPr>
      <w:r>
        <w:rPr>
          <w:b/>
          <w:bCs/>
        </w:rPr>
        <w:t xml:space="preserve">Plate. </w:t>
      </w:r>
      <w:r>
        <w:t>A single shared dish is divided unequally across the table so each person’s remaining need is met as far as one dish can — a per-participant serving recommendation (§7).</w:t>
      </w:r>
    </w:p>
    <w:p w14:paraId="3F32C13D" w14:textId="77777777" w:rsidR="00A37EC3" w:rsidRDefault="00107C1C">
      <w:pPr>
        <w:pStyle w:val="ListParagraph"/>
        <w:numPr>
          <w:ilvl w:val="0"/>
          <w:numId w:val="3"/>
        </w:numPr>
        <w:spacing w:after="80" w:line="268" w:lineRule="auto"/>
      </w:pPr>
      <w:r>
        <w:rPr>
          <w:b/>
          <w:bCs/>
        </w:rPr>
        <w:t xml:space="preserve">Learn. </w:t>
      </w:r>
      <w:r>
        <w:t>Outcomes and feedback refine the person’s profile and the population averages, raising confidence over time.</w:t>
      </w:r>
    </w:p>
    <w:p w14:paraId="192C0AD1" w14:textId="77777777" w:rsidR="00A37EC3" w:rsidRDefault="00107C1C">
      <w:pPr>
        <w:spacing w:after="140" w:line="276" w:lineRule="auto"/>
      </w:pPr>
      <w:r>
        <w:rPr>
          <w:b/>
          <w:bCs/>
        </w:rPr>
        <w:t xml:space="preserve">Where “serving size” went. </w:t>
      </w:r>
      <w:r>
        <w:t xml:space="preserve">It is no longer the model’s core. Real units (energy + nutrients + satiety) are matched directly; “how much” is an </w:t>
      </w:r>
      <w:r>
        <w:rPr>
          <w:i/>
          <w:iCs/>
        </w:rPr>
        <w:t>output</w:t>
      </w:r>
      <w:r>
        <w:t xml:space="preserve"> (the plating). A 1–100 scalar survives only as the friendly, cold-start form of the population-average rung — the gentle guess when we know nothing else (§4, §5).</w:t>
      </w:r>
    </w:p>
    <w:p w14:paraId="49A7BC9B" w14:textId="77777777" w:rsidR="00A37EC3" w:rsidRDefault="00107C1C">
      <w:pPr>
        <w:pStyle w:val="Heading1"/>
      </w:pPr>
      <w:r>
        <w:t>4. The knowledge cascade (the spine)</w:t>
      </w:r>
    </w:p>
    <w:p w14:paraId="42FB677E" w14:textId="77777777" w:rsidR="00A37EC3" w:rsidRDefault="00107C1C">
      <w:pPr>
        <w:spacing w:after="140" w:line="276" w:lineRule="auto"/>
      </w:pPr>
      <w:r>
        <w:t>Every input the model needs — what a person has eaten today, how hungry they are now, their nutrient targets, their fullness preference — is resolved in the same order, best-known first. We are never stuck; we degrade gracefully and stay honest about which rung we are 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5760"/>
        <w:gridCol w:w="1900"/>
      </w:tblGrid>
      <w:tr w:rsidR="00A37EC3" w14:paraId="248F89E3" w14:textId="77777777">
        <w:tblPrEx>
          <w:tblCellMar>
            <w:top w:w="0" w:type="dxa"/>
            <w:bottom w:w="0" w:type="dxa"/>
          </w:tblCellMar>
        </w:tblPrEx>
        <w:trPr>
          <w:tblHeader/>
        </w:trPr>
        <w:tc>
          <w:tcPr>
            <w:tcW w:w="1700" w:type="dxa"/>
            <w:tcBorders>
              <w:top w:val="single" w:sz="1" w:space="0" w:color="DAD7D1"/>
              <w:left w:val="single" w:sz="1" w:space="0" w:color="DAD7D1"/>
              <w:bottom w:val="single" w:sz="1" w:space="0" w:color="DAD7D1"/>
              <w:right w:val="single" w:sz="1" w:space="0" w:color="DAD7D1"/>
            </w:tcBorders>
            <w:shd w:val="clear" w:color="auto" w:fill="EFEEE9"/>
            <w:tcMar>
              <w:top w:w="70" w:type="dxa"/>
              <w:left w:w="110" w:type="dxa"/>
              <w:bottom w:w="70" w:type="dxa"/>
              <w:right w:w="110" w:type="dxa"/>
            </w:tcMar>
          </w:tcPr>
          <w:p w14:paraId="41BE16CE" w14:textId="77777777" w:rsidR="00A37EC3" w:rsidRDefault="00107C1C">
            <w:pPr>
              <w:spacing w:after="20" w:line="252" w:lineRule="auto"/>
            </w:pPr>
            <w:r>
              <w:rPr>
                <w:b/>
                <w:bCs/>
              </w:rPr>
              <w:t>Rung</w:t>
            </w:r>
          </w:p>
        </w:tc>
        <w:tc>
          <w:tcPr>
            <w:tcW w:w="5760" w:type="dxa"/>
            <w:tcBorders>
              <w:top w:val="single" w:sz="1" w:space="0" w:color="DAD7D1"/>
              <w:left w:val="single" w:sz="1" w:space="0" w:color="DAD7D1"/>
              <w:bottom w:val="single" w:sz="1" w:space="0" w:color="DAD7D1"/>
              <w:right w:val="single" w:sz="1" w:space="0" w:color="DAD7D1"/>
            </w:tcBorders>
            <w:shd w:val="clear" w:color="auto" w:fill="EFEEE9"/>
            <w:tcMar>
              <w:top w:w="70" w:type="dxa"/>
              <w:left w:w="110" w:type="dxa"/>
              <w:bottom w:w="70" w:type="dxa"/>
              <w:right w:w="110" w:type="dxa"/>
            </w:tcMar>
          </w:tcPr>
          <w:p w14:paraId="347DA1FF" w14:textId="77777777" w:rsidR="00A37EC3" w:rsidRDefault="00107C1C">
            <w:pPr>
              <w:spacing w:after="20" w:line="252" w:lineRule="auto"/>
            </w:pPr>
            <w:r>
              <w:rPr>
                <w:b/>
                <w:bCs/>
              </w:rPr>
              <w:t>How the input is resolved</w:t>
            </w:r>
          </w:p>
        </w:tc>
        <w:tc>
          <w:tcPr>
            <w:tcW w:w="1900" w:type="dxa"/>
            <w:tcBorders>
              <w:top w:val="single" w:sz="1" w:space="0" w:color="DAD7D1"/>
              <w:left w:val="single" w:sz="1" w:space="0" w:color="DAD7D1"/>
              <w:bottom w:val="single" w:sz="1" w:space="0" w:color="DAD7D1"/>
              <w:right w:val="single" w:sz="1" w:space="0" w:color="DAD7D1"/>
            </w:tcBorders>
            <w:shd w:val="clear" w:color="auto" w:fill="EFEEE9"/>
            <w:tcMar>
              <w:top w:w="70" w:type="dxa"/>
              <w:left w:w="110" w:type="dxa"/>
              <w:bottom w:w="70" w:type="dxa"/>
              <w:right w:w="110" w:type="dxa"/>
            </w:tcMar>
          </w:tcPr>
          <w:p w14:paraId="52BC8036" w14:textId="77777777" w:rsidR="00A37EC3" w:rsidRDefault="00107C1C">
            <w:pPr>
              <w:spacing w:after="20" w:line="252" w:lineRule="auto"/>
            </w:pPr>
            <w:r>
              <w:rPr>
                <w:b/>
                <w:bCs/>
              </w:rPr>
              <w:t>Confidence</w:t>
            </w:r>
          </w:p>
        </w:tc>
      </w:tr>
      <w:tr w:rsidR="00A37EC3" w14:paraId="02084484" w14:textId="77777777">
        <w:tblPrEx>
          <w:tblCellMar>
            <w:top w:w="0" w:type="dxa"/>
            <w:bottom w:w="0" w:type="dxa"/>
          </w:tblCellMar>
        </w:tblPrEx>
        <w:tc>
          <w:tcPr>
            <w:tcW w:w="170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31A97D04" w14:textId="77777777" w:rsidR="00A37EC3" w:rsidRDefault="00107C1C">
            <w:pPr>
              <w:spacing w:after="20" w:line="252" w:lineRule="auto"/>
            </w:pPr>
            <w:r>
              <w:rPr>
                <w:b/>
                <w:bCs/>
              </w:rPr>
              <w:t>Known</w:t>
            </w:r>
          </w:p>
        </w:tc>
        <w:tc>
          <w:tcPr>
            <w:tcW w:w="576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4E2DDB18" w14:textId="77777777" w:rsidR="00A37EC3" w:rsidRDefault="00107C1C">
            <w:pPr>
              <w:spacing w:after="20" w:line="252" w:lineRule="auto"/>
            </w:pPr>
            <w:r>
              <w:t>Logged or measured directly (a tracked lunch, a stated target).</w:t>
            </w:r>
          </w:p>
        </w:tc>
        <w:tc>
          <w:tcPr>
            <w:tcW w:w="190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503AFCFD" w14:textId="77777777" w:rsidR="00A37EC3" w:rsidRDefault="00107C1C">
            <w:pPr>
              <w:spacing w:after="20" w:line="252" w:lineRule="auto"/>
            </w:pPr>
            <w:r>
              <w:t>Highest</w:t>
            </w:r>
          </w:p>
        </w:tc>
      </w:tr>
      <w:tr w:rsidR="00A37EC3" w14:paraId="1A67F166" w14:textId="77777777">
        <w:tblPrEx>
          <w:tblCellMar>
            <w:top w:w="0" w:type="dxa"/>
            <w:bottom w:w="0" w:type="dxa"/>
          </w:tblCellMar>
        </w:tblPrEx>
        <w:tc>
          <w:tcPr>
            <w:tcW w:w="170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12391DD3" w14:textId="77777777" w:rsidR="00A37EC3" w:rsidRDefault="00107C1C">
            <w:pPr>
              <w:spacing w:after="20" w:line="252" w:lineRule="auto"/>
            </w:pPr>
            <w:r>
              <w:rPr>
                <w:b/>
                <w:bCs/>
              </w:rPr>
              <w:lastRenderedPageBreak/>
              <w:t>Ask</w:t>
            </w:r>
          </w:p>
        </w:tc>
        <w:tc>
          <w:tcPr>
            <w:tcW w:w="576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3439DF07" w14:textId="77777777" w:rsidR="00A37EC3" w:rsidRDefault="00107C1C">
            <w:pPr>
              <w:spacing w:after="20" w:line="252" w:lineRule="auto"/>
            </w:pPr>
            <w:r>
              <w:t>One light question in the butler’s voice — “How hungry are you tonight?” “Big lunch today?” Optional, never a form.</w:t>
            </w:r>
          </w:p>
        </w:tc>
        <w:tc>
          <w:tcPr>
            <w:tcW w:w="190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2B2DE2F1" w14:textId="77777777" w:rsidR="00A37EC3" w:rsidRDefault="00107C1C">
            <w:pPr>
              <w:spacing w:after="20" w:line="252" w:lineRule="auto"/>
            </w:pPr>
            <w:r>
              <w:t>High</w:t>
            </w:r>
          </w:p>
        </w:tc>
      </w:tr>
      <w:tr w:rsidR="00A37EC3" w14:paraId="3E8282C7" w14:textId="77777777">
        <w:tblPrEx>
          <w:tblCellMar>
            <w:top w:w="0" w:type="dxa"/>
            <w:bottom w:w="0" w:type="dxa"/>
          </w:tblCellMar>
        </w:tblPrEx>
        <w:tc>
          <w:tcPr>
            <w:tcW w:w="170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20A49239" w14:textId="77777777" w:rsidR="00A37EC3" w:rsidRDefault="00107C1C">
            <w:pPr>
              <w:spacing w:after="20" w:line="252" w:lineRule="auto"/>
            </w:pPr>
            <w:r>
              <w:rPr>
                <w:b/>
                <w:bCs/>
              </w:rPr>
              <w:t>Stated habit</w:t>
            </w:r>
          </w:p>
        </w:tc>
        <w:tc>
          <w:tcPr>
            <w:tcW w:w="576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648A6913" w14:textId="77777777" w:rsidR="00A37EC3" w:rsidRDefault="00107C1C">
            <w:pPr>
              <w:spacing w:after="20" w:line="252" w:lineRule="auto"/>
            </w:pPr>
            <w:r>
              <w:t>A profile segment the person told us (“I usually skip breakfast,” “light lunch”).</w:t>
            </w:r>
          </w:p>
        </w:tc>
        <w:tc>
          <w:tcPr>
            <w:tcW w:w="190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2CEDEBF9" w14:textId="77777777" w:rsidR="00A37EC3" w:rsidRDefault="00107C1C">
            <w:pPr>
              <w:spacing w:after="20" w:line="252" w:lineRule="auto"/>
            </w:pPr>
            <w:r>
              <w:t>Medium</w:t>
            </w:r>
          </w:p>
        </w:tc>
      </w:tr>
      <w:tr w:rsidR="00A37EC3" w14:paraId="5CFAC8A4" w14:textId="77777777">
        <w:tblPrEx>
          <w:tblCellMar>
            <w:top w:w="0" w:type="dxa"/>
            <w:bottom w:w="0" w:type="dxa"/>
          </w:tblCellMar>
        </w:tblPrEx>
        <w:tc>
          <w:tcPr>
            <w:tcW w:w="170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2FDFE589" w14:textId="77777777" w:rsidR="00A37EC3" w:rsidRDefault="00107C1C">
            <w:pPr>
              <w:spacing w:after="20" w:line="252" w:lineRule="auto"/>
            </w:pPr>
            <w:r>
              <w:rPr>
                <w:b/>
                <w:bCs/>
              </w:rPr>
              <w:t>Learned pattern</w:t>
            </w:r>
          </w:p>
        </w:tc>
        <w:tc>
          <w:tcPr>
            <w:tcW w:w="576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3B75790F" w14:textId="77777777" w:rsidR="00A37EC3" w:rsidRDefault="00107C1C">
            <w:pPr>
              <w:spacing w:after="20" w:line="252" w:lineRule="auto"/>
            </w:pPr>
            <w:r>
              <w:t>What they have actually done before, even if never stated.</w:t>
            </w:r>
          </w:p>
        </w:tc>
        <w:tc>
          <w:tcPr>
            <w:tcW w:w="190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24B20872" w14:textId="77777777" w:rsidR="00A37EC3" w:rsidRDefault="00107C1C">
            <w:pPr>
              <w:spacing w:after="20" w:line="252" w:lineRule="auto"/>
            </w:pPr>
            <w:r>
              <w:t>Medium–low</w:t>
            </w:r>
          </w:p>
        </w:tc>
      </w:tr>
      <w:tr w:rsidR="00A37EC3" w14:paraId="09D524D0" w14:textId="77777777">
        <w:tblPrEx>
          <w:tblCellMar>
            <w:top w:w="0" w:type="dxa"/>
            <w:bottom w:w="0" w:type="dxa"/>
          </w:tblCellMar>
        </w:tblPrEx>
        <w:tc>
          <w:tcPr>
            <w:tcW w:w="170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1BF02382" w14:textId="77777777" w:rsidR="00A37EC3" w:rsidRDefault="00107C1C">
            <w:pPr>
              <w:spacing w:after="20" w:line="252" w:lineRule="auto"/>
            </w:pPr>
            <w:r>
              <w:rPr>
                <w:b/>
                <w:bCs/>
              </w:rPr>
              <w:t>Population average</w:t>
            </w:r>
          </w:p>
        </w:tc>
        <w:tc>
          <w:tcPr>
            <w:tcW w:w="576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668EE33A" w14:textId="77777777" w:rsidR="00A37EC3" w:rsidRDefault="00107C1C">
            <w:pPr>
              <w:spacing w:after="20" w:line="252" w:lineRule="auto"/>
            </w:pPr>
            <w:r>
              <w:t>What an average comparable person does. Improves over time as Soupdog learns across everyone. The 1–100 scalar lives here.</w:t>
            </w:r>
          </w:p>
        </w:tc>
        <w:tc>
          <w:tcPr>
            <w:tcW w:w="190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12B02055" w14:textId="77777777" w:rsidR="00A37EC3" w:rsidRDefault="00107C1C">
            <w:pPr>
              <w:spacing w:after="20" w:line="252" w:lineRule="auto"/>
            </w:pPr>
            <w:r>
              <w:t>Lowest</w:t>
            </w:r>
          </w:p>
        </w:tc>
      </w:tr>
    </w:tbl>
    <w:p w14:paraId="50F2016C" w14:textId="77777777" w:rsidR="00A37EC3" w:rsidRDefault="00107C1C">
      <w:pPr>
        <w:spacing w:after="140" w:line="276" w:lineRule="auto"/>
      </w:pPr>
      <w:r>
        <w:rPr>
          <w:b/>
          <w:bCs/>
        </w:rPr>
        <w:t xml:space="preserve">Butler’s restraint is itself a rule. </w:t>
      </w:r>
      <w:r>
        <w:t xml:space="preserve">A host who asks five questions before every meal is not charming, he is exhausting. The </w:t>
      </w:r>
      <w:r>
        <w:rPr>
          <w:i/>
          <w:iCs/>
        </w:rPr>
        <w:t>ask</w:t>
      </w:r>
      <w:r>
        <w:t xml:space="preserve"> rung is used sparingly — only when the answer would </w:t>
      </w:r>
      <w:r>
        <w:rPr>
          <w:b/>
          <w:bCs/>
        </w:rPr>
        <w:t>materially change the recommendation</w:t>
      </w:r>
      <w:r>
        <w:t>. Otherwise we quietly use habit or average and get it roughly right. Over-asking is a failure mode that kills the butler feeling.</w:t>
      </w:r>
    </w:p>
    <w:p w14:paraId="6F2D7F79" w14:textId="77777777" w:rsidR="00A37EC3" w:rsidRDefault="00107C1C">
      <w:pPr>
        <w:spacing w:after="140" w:line="276" w:lineRule="auto"/>
      </w:pPr>
      <w:r>
        <w:rPr>
          <w:b/>
          <w:bCs/>
        </w:rPr>
        <w:t xml:space="preserve">How the ask surfaces — and why that protects people. </w:t>
      </w:r>
      <w:r>
        <w:t xml:space="preserve">The ask rung is </w:t>
      </w:r>
      <w:r>
        <w:rPr>
          <w:b/>
          <w:bCs/>
        </w:rPr>
        <w:t>pull, not push</w:t>
      </w:r>
      <w:r>
        <w:t xml:space="preserve">: a discreet icon by the menu opens an optional popover with a few questions the host can put to the participants (“How hungry is everyone?”). It is never an inline prompt that blocks the flow, and nobody is interrogated. This is also the main </w:t>
      </w:r>
      <w:r>
        <w:rPr>
          <w:b/>
          <w:bCs/>
        </w:rPr>
        <w:t>vulnerable-user safeguard</w:t>
      </w:r>
      <w:r>
        <w:t xml:space="preserve"> for asking: an optional, host-opened panel — phrased as a chef who knows the table would ask, gently or not at all — avoids the surveillance feel of “What did you eat today?” A separate rule governs the </w:t>
      </w:r>
      <w:r>
        <w:rPr>
          <w:i/>
          <w:iCs/>
        </w:rPr>
        <w:t>recommend</w:t>
      </w:r>
      <w:r>
        <w:rPr>
          <w:i/>
          <w:iCs/>
        </w:rPr>
        <w:t>ations</w:t>
      </w:r>
      <w:r>
        <w:t xml:space="preserve"> themselves: they never tip into restriction (never advise under-eating to hit a number), independent of any question. </w:t>
      </w:r>
      <w:r>
        <w:rPr>
          <w:b/>
          <w:bCs/>
          <w:color w:val="2E4638"/>
        </w:rPr>
        <w:t xml:space="preserve">[OPEN] </w:t>
      </w:r>
      <w:r>
        <w:t>The small set of permissible butler questions and the rule for when asking is warranted.</w:t>
      </w:r>
    </w:p>
    <w:p w14:paraId="3F802CBC" w14:textId="77777777" w:rsidR="00A37EC3" w:rsidRDefault="00107C1C">
      <w:pPr>
        <w:pStyle w:val="Heading1"/>
      </w:pPr>
      <w:r>
        <w:t>5. The requirement (per person, per occasion)</w:t>
      </w:r>
    </w:p>
    <w:p w14:paraId="3340F1CD" w14:textId="77777777" w:rsidR="00A37EC3" w:rsidRDefault="00107C1C">
      <w:pPr>
        <w:spacing w:after="140" w:line="276" w:lineRule="auto"/>
      </w:pPr>
      <w:r>
        <w:t xml:space="preserve">A person’s requirement for an occasion is expressed in the </w:t>
      </w:r>
      <w:r>
        <w:rPr>
          <w:b/>
          <w:bCs/>
        </w:rPr>
        <w:t>same units as the meal data</w:t>
      </w:r>
      <w:r>
        <w:t>: energy, key nutrients (protein, fibre, etc.), and a satiety need. It is built in two moves.</w:t>
      </w:r>
    </w:p>
    <w:p w14:paraId="5D892694" w14:textId="77777777" w:rsidR="00A37EC3" w:rsidRDefault="00107C1C">
      <w:pPr>
        <w:pStyle w:val="Heading2"/>
      </w:pPr>
      <w:r>
        <w:t>5.1 Daily target → occasion share</w:t>
      </w:r>
    </w:p>
    <w:p w14:paraId="7199E530" w14:textId="77777777" w:rsidR="00A37EC3" w:rsidRDefault="00107C1C">
      <w:pPr>
        <w:spacing w:after="140" w:line="276" w:lineRule="auto"/>
      </w:pPr>
      <w:r>
        <w:t xml:space="preserve">Nutrient needs are naturally </w:t>
      </w:r>
      <w:r>
        <w:rPr>
          <w:i/>
          <w:iCs/>
        </w:rPr>
        <w:t>daily</w:t>
      </w:r>
      <w:r>
        <w:t xml:space="preserve"> (e.g. fibre 38 g/day for one person, 25 g/day for another). A meal delivers a slice of the day, so the daily target is drawn down by what the day already holds. For people whose day we know, this is a </w:t>
      </w:r>
      <w:r>
        <w:rPr>
          <w:b/>
          <w:bCs/>
        </w:rPr>
        <w:t>running balance</w:t>
      </w:r>
      <w:r>
        <w:t xml:space="preserve">; otherwise the day’s shape is itself resolved through the cascade (ask / habit / average). Concretely, there is a single </w:t>
      </w:r>
      <w:r>
        <w:rPr>
          <w:b/>
          <w:bCs/>
        </w:rPr>
        <w:t>default template</w:t>
      </w:r>
      <w:r>
        <w:t xml:space="preserve"> for a complete unknown — even a logged-out visitor reading a recipe — and every value is overwritten by a real one as we learn it. There is no separate</w:t>
      </w:r>
      <w:r>
        <w:t xml:space="preserve"> “anonymous mode”: an unknown person simply sits entirely on the bottom (population-average) rung.</w:t>
      </w:r>
    </w:p>
    <w:p w14:paraId="37FA5215" w14:textId="77777777" w:rsidR="00A37EC3" w:rsidRDefault="00107C1C">
      <w:pPr>
        <w:pStyle w:val="Heading2"/>
      </w:pPr>
      <w:r>
        <w:t>5.2 Satiety — the feeling axis</w:t>
      </w:r>
    </w:p>
    <w:p w14:paraId="192BBBFC" w14:textId="77777777" w:rsidR="00A37EC3" w:rsidRDefault="00107C1C">
      <w:pPr>
        <w:spacing w:after="140" w:line="276" w:lineRule="auto"/>
      </w:pPr>
      <w:r>
        <w:t xml:space="preserve">Calories alone do not predict fullness: a 600-kcal salad and a 600-kcal pastry are not the same “serving.” The </w:t>
      </w:r>
      <w:r>
        <w:rPr>
          <w:b/>
          <w:bCs/>
        </w:rPr>
        <w:t>Satiety Index</w:t>
      </w:r>
      <w:r>
        <w:t xml:space="preserve"> (Holt et al., 1995) and the energy-density and protein/fibre/water literature (Rolls; </w:t>
      </w:r>
      <w:r>
        <w:lastRenderedPageBreak/>
        <w:t xml:space="preserve">protein-leverage) let satiety be </w:t>
      </w:r>
      <w:r>
        <w:rPr>
          <w:b/>
          <w:bCs/>
        </w:rPr>
        <w:t>estimated from composition</w:t>
      </w:r>
      <w:r>
        <w:t xml:space="preserve"> — exactly the per-ingredient data the Food Model holds. Satiety is a first-class axis of the requirement, alongside nutrition.</w:t>
      </w:r>
    </w:p>
    <w:p w14:paraId="3DD7698B" w14:textId="77777777" w:rsidR="00A37EC3" w:rsidRDefault="00107C1C">
      <w:pPr>
        <w:pStyle w:val="Heading2"/>
      </w:pPr>
      <w:r>
        <w:t>5.3 Taste and the per-occasion override</w:t>
      </w:r>
    </w:p>
    <w:p w14:paraId="0BF8DFC7" w14:textId="77777777" w:rsidR="00A37EC3" w:rsidRDefault="00107C1C">
      <w:pPr>
        <w:spacing w:after="140" w:line="276" w:lineRule="auto"/>
      </w:pPr>
      <w:r>
        <w:t xml:space="preserve">A standing requirement yields to the moment — “I’m not that hungry today” shrinks this occasion without rewriting the baseline. Beyond need and fullness sits </w:t>
      </w:r>
      <w:r>
        <w:rPr>
          <w:i/>
          <w:iCs/>
        </w:rPr>
        <w:t>desire</w:t>
      </w:r>
      <w:r>
        <w:t xml:space="preserve"> — will the person actually enjoy this — which Soupdog learns the way a music service learns taste: from </w:t>
      </w:r>
      <w:r>
        <w:rPr>
          <w:b/>
          <w:bCs/>
        </w:rPr>
        <w:t>behaviour</w:t>
      </w:r>
      <w:r>
        <w:t xml:space="preserve">, not declared ratings. What someone cooks, finishes, re-cooks, plates and returns to, or skips when suggested, builds a personal </w:t>
      </w:r>
      <w:r>
        <w:rPr>
          <w:b/>
          <w:bCs/>
        </w:rPr>
        <w:t>taste-match</w:t>
      </w:r>
      <w:r>
        <w:t xml:space="preserve"> (§6.2). This absorbs what v0.2 called “want”: want and taste are one behavioural model, and the person’s own choice always decides.</w:t>
      </w:r>
    </w:p>
    <w:p w14:paraId="65AD8672" w14:textId="77777777" w:rsidR="00A37EC3" w:rsidRDefault="00107C1C">
      <w:pPr>
        <w:pStyle w:val="Heading1"/>
      </w:pPr>
      <w:r>
        <w:t>6. The match: three signals, satiety first</w:t>
      </w:r>
    </w:p>
    <w:p w14:paraId="4D0BA33F" w14:textId="77777777" w:rsidR="00A37EC3" w:rsidRDefault="00107C1C">
      <w:pPr>
        <w:pStyle w:val="Heading2"/>
      </w:pPr>
      <w:r>
        <w:t>6.1 The blend</w:t>
      </w:r>
    </w:p>
    <w:p w14:paraId="52828DF0" w14:textId="77777777" w:rsidR="00A37EC3" w:rsidRDefault="00107C1C">
      <w:pPr>
        <w:spacing w:after="140" w:line="276" w:lineRule="auto"/>
      </w:pPr>
      <w:r>
        <w:t xml:space="preserve">Meals carry cooking-adjusted nutrition (the Food Model adjusts ingredient nutrients for the cooking process) and a satiety estimate. A recommendation blends </w:t>
      </w:r>
      <w:r>
        <w:rPr>
          <w:b/>
          <w:bCs/>
        </w:rPr>
        <w:t>three orthogonal signals</w:t>
      </w:r>
      <w:r>
        <w:t>, each answering a different question:</w:t>
      </w:r>
    </w:p>
    <w:p w14:paraId="758C1929" w14:textId="77777777" w:rsidR="00A37EC3" w:rsidRDefault="00107C1C">
      <w:pPr>
        <w:pStyle w:val="ListParagraph"/>
        <w:numPr>
          <w:ilvl w:val="0"/>
          <w:numId w:val="4"/>
        </w:numPr>
        <w:spacing w:after="80" w:line="268" w:lineRule="auto"/>
      </w:pPr>
      <w:r>
        <w:rPr>
          <w:b/>
          <w:bCs/>
        </w:rPr>
        <w:t xml:space="preserve">Correct — evidence grade. </w:t>
      </w:r>
      <w:r>
        <w:t>Is this recipe trustworthy / will it work as written? (§8.) Objective.</w:t>
      </w:r>
    </w:p>
    <w:p w14:paraId="1AAE2618" w14:textId="77777777" w:rsidR="00A37EC3" w:rsidRDefault="00107C1C">
      <w:pPr>
        <w:pStyle w:val="ListParagraph"/>
        <w:numPr>
          <w:ilvl w:val="0"/>
          <w:numId w:val="4"/>
        </w:numPr>
        <w:spacing w:after="80" w:line="268" w:lineRule="auto"/>
      </w:pPr>
      <w:r>
        <w:rPr>
          <w:b/>
          <w:bCs/>
        </w:rPr>
        <w:t xml:space="preserve">Enjoyed — taste-match. </w:t>
      </w:r>
      <w:r>
        <w:t xml:space="preserve">Will </w:t>
      </w:r>
      <w:r>
        <w:rPr>
          <w:i/>
          <w:iCs/>
        </w:rPr>
        <w:t>this</w:t>
      </w:r>
      <w:r>
        <w:t xml:space="preserve"> person like it? Subjective, personal, learned from behaviour (§6.2).</w:t>
      </w:r>
    </w:p>
    <w:p w14:paraId="25F82549" w14:textId="77777777" w:rsidR="00A37EC3" w:rsidRDefault="00107C1C">
      <w:pPr>
        <w:pStyle w:val="ListParagraph"/>
        <w:numPr>
          <w:ilvl w:val="0"/>
          <w:numId w:val="4"/>
        </w:numPr>
        <w:spacing w:after="80" w:line="268" w:lineRule="auto"/>
      </w:pPr>
      <w:r>
        <w:rPr>
          <w:b/>
          <w:bCs/>
        </w:rPr>
        <w:t xml:space="preserve">Satisfying &amp; nourishing — harmony. </w:t>
      </w:r>
      <w:r>
        <w:t>Does it leave them full (satiety) and move them toward their need (nutrition)?</w:t>
      </w:r>
    </w:p>
    <w:p w14:paraId="3BBB2EB2" w14:textId="77777777" w:rsidR="00A37EC3" w:rsidRDefault="00107C1C">
      <w:pPr>
        <w:spacing w:after="140" w:line="276" w:lineRule="auto"/>
      </w:pPr>
      <w:r>
        <w:rPr>
          <w:b/>
          <w:bCs/>
        </w:rPr>
        <w:t xml:space="preserve">The blend is satiety-first. </w:t>
      </w:r>
      <w:r>
        <w:t xml:space="preserve">Satiety is close to a </w:t>
      </w:r>
      <w:r>
        <w:rPr>
          <w:b/>
          <w:bCs/>
        </w:rPr>
        <w:t>hard constraint</w:t>
      </w:r>
      <w:r>
        <w:t xml:space="preserve">, nutrition is the </w:t>
      </w:r>
      <w:r>
        <w:rPr>
          <w:b/>
          <w:bCs/>
        </w:rPr>
        <w:t>optimisation target</w:t>
      </w:r>
      <w:r>
        <w:t xml:space="preserve">. We never recommend something that leaves a person unsatisfied — that is the failed-diet death spiral, where people abandon the system entirely. Among </w:t>
      </w:r>
      <w:r>
        <w:rPr>
          <w:i/>
          <w:iCs/>
        </w:rPr>
        <w:t>satisfying</w:t>
      </w:r>
      <w:r>
        <w:t xml:space="preserve"> and </w:t>
      </w:r>
      <w:r>
        <w:rPr>
          <w:i/>
          <w:iCs/>
        </w:rPr>
        <w:t>enjoyable</w:t>
      </w:r>
      <w:r>
        <w:t xml:space="preserve"> options we push toward the best nutrition. When nothing both satisfies and nourishes well, that is a </w:t>
      </w:r>
      <w:r>
        <w:rPr>
          <w:b/>
          <w:bCs/>
        </w:rPr>
        <w:t>gap in our content</w:t>
      </w:r>
      <w:r>
        <w:t xml:space="preserve">, logged for content creation (Doc B) — it is </w:t>
      </w:r>
      <w:r>
        <w:rPr>
          <w:i/>
          <w:iCs/>
        </w:rPr>
        <w:t>not</w:t>
      </w:r>
      <w:r>
        <w:t xml:space="preserve"> resolved by recommending the joyless-but-healthy dish. Satiety and taste-match are the two </w:t>
      </w:r>
      <w:r>
        <w:t xml:space="preserve">guards against the two ways people quit: physical hunger, and joylessness. </w:t>
      </w:r>
      <w:r>
        <w:rPr>
          <w:b/>
          <w:bCs/>
          <w:color w:val="2E4638"/>
        </w:rPr>
        <w:t xml:space="preserve">[OPEN] </w:t>
      </w:r>
      <w:r>
        <w:t>The precise satiety/nutrition weighting; there is literature on satiety’s role in dietary adherence to motivate it, but the exact tradeoff is tuned with real data.</w:t>
      </w:r>
    </w:p>
    <w:p w14:paraId="16FB3FF4" w14:textId="77777777" w:rsidR="00A37EC3" w:rsidRDefault="00107C1C">
      <w:pPr>
        <w:spacing w:after="140" w:line="276" w:lineRule="auto"/>
      </w:pPr>
      <w:r>
        <w:rPr>
          <w:b/>
          <w:bCs/>
        </w:rPr>
        <w:t xml:space="preserve">It rewards green; it never shames red. </w:t>
      </w:r>
      <w:r>
        <w:t xml:space="preserve">The blend is used to </w:t>
      </w:r>
      <w:r>
        <w:rPr>
          <w:b/>
          <w:bCs/>
        </w:rPr>
        <w:t>rank what we recommend</w:t>
      </w:r>
      <w:r>
        <w:t xml:space="preserve"> — surfacing positive reinforcement, not stamping enjoyed food as bad. The target is green </w:t>
      </w:r>
      <w:r>
        <w:rPr>
          <w:b/>
          <w:bCs/>
        </w:rPr>
        <w:t>over a time window</w:t>
      </w:r>
      <w:r>
        <w:t xml:space="preserve"> (day/week), not every plate. The score is </w:t>
      </w:r>
      <w:r>
        <w:rPr>
          <w:b/>
          <w:bCs/>
        </w:rPr>
        <w:t>internal</w:t>
      </w:r>
      <w:r>
        <w:t>; if a user specifically asks why something was recommended, we can explain it usefully.</w:t>
      </w:r>
    </w:p>
    <w:p w14:paraId="3FD12C96" w14:textId="77777777" w:rsidR="00A37EC3" w:rsidRDefault="00107C1C">
      <w:pPr>
        <w:pStyle w:val="Heading2"/>
      </w:pPr>
      <w:r>
        <w:t>6.2 Taste-match (learned from behaviour)</w:t>
      </w:r>
    </w:p>
    <w:p w14:paraId="56A85221" w14:textId="77777777" w:rsidR="00A37EC3" w:rsidRDefault="00107C1C">
      <w:pPr>
        <w:spacing w:after="140" w:line="276" w:lineRule="auto"/>
      </w:pPr>
      <w:r>
        <w:t xml:space="preserve">Taste is not a global “tastiness” number; it is </w:t>
      </w:r>
      <w:r>
        <w:rPr>
          <w:b/>
          <w:bCs/>
        </w:rPr>
        <w:t>personal</w:t>
      </w:r>
      <w:r>
        <w:t xml:space="preserve">. Like a music service, Soupdog infers it from what a cook actually does — cooks, finishes, repeats, returns to, or skips — and from “cooks like you also loved this” across similar people. A global “widely loved” figure is only the </w:t>
      </w:r>
      <w:r>
        <w:rPr>
          <w:b/>
          <w:bCs/>
        </w:rPr>
        <w:t>population rung</w:t>
      </w:r>
      <w:r>
        <w:t xml:space="preserve"> of the taste cascade (§4) — a default for a new cook, never an individual verdict.</w:t>
      </w:r>
    </w:p>
    <w:p w14:paraId="12639B73" w14:textId="77777777" w:rsidR="00A37EC3" w:rsidRDefault="00107C1C">
      <w:pPr>
        <w:spacing w:after="140" w:line="276" w:lineRule="auto"/>
      </w:pPr>
      <w:r>
        <w:rPr>
          <w:b/>
          <w:bCs/>
        </w:rPr>
        <w:lastRenderedPageBreak/>
        <w:t xml:space="preserve">Two honest cautions. </w:t>
      </w:r>
      <w:r>
        <w:t xml:space="preserve">(1) Cooking is far sparser than streaming — a cook makes a handful of meals a week, not hundreds of plays — so taste-match leans on cohort popularity for a long time and must carry honest, low confidence early (the evidence-grade-on-everything tenet). (2) We borrow the </w:t>
      </w:r>
      <w:r>
        <w:rPr>
          <w:i/>
          <w:iCs/>
        </w:rPr>
        <w:t>mechanism</w:t>
      </w:r>
      <w:r>
        <w:t xml:space="preserve"> but not the objective: a pure preference-maximiser would narrow someone toward a less varied, less nutritious diet. Stewardship deliberately keeps nutrition and variety in the loop — taste-match makes people </w:t>
      </w:r>
      <w:r>
        <w:rPr>
          <w:i/>
          <w:iCs/>
        </w:rPr>
        <w:t>happy</w:t>
      </w:r>
      <w:r>
        <w:t>, it does not get t</w:t>
      </w:r>
      <w:r>
        <w:t xml:space="preserve">o </w:t>
      </w:r>
      <w:r>
        <w:rPr>
          <w:i/>
          <w:iCs/>
        </w:rPr>
        <w:t>collapse</w:t>
      </w:r>
      <w:r>
        <w:t xml:space="preserve"> the diet.</w:t>
      </w:r>
    </w:p>
    <w:p w14:paraId="124F4DFE" w14:textId="77777777" w:rsidR="00A37EC3" w:rsidRDefault="00107C1C">
      <w:pPr>
        <w:pStyle w:val="Heading1"/>
      </w:pPr>
      <w:r>
        <w:t>7. The plating (the per-participant output)</w:t>
      </w:r>
    </w:p>
    <w:p w14:paraId="076FBA21" w14:textId="77777777" w:rsidR="00A37EC3" w:rsidRDefault="00107C1C">
      <w:pPr>
        <w:spacing w:after="140" w:line="276" w:lineRule="auto"/>
      </w:pPr>
      <w:r>
        <w:t xml:space="preserve">The match yields a meal; the </w:t>
      </w:r>
      <w:r>
        <w:rPr>
          <w:b/>
          <w:bCs/>
        </w:rPr>
        <w:t>plating</w:t>
      </w:r>
      <w:r>
        <w:t xml:space="preserve"> yields how to serve it to </w:t>
      </w:r>
      <w:r>
        <w:rPr>
          <w:i/>
          <w:iCs/>
        </w:rPr>
        <w:t>each</w:t>
      </w:r>
      <w:r>
        <w:t xml:space="preserve"> person. Because the table shares one dish, per-nutrient delivery reduces to a </w:t>
      </w:r>
      <w:r>
        <w:rPr>
          <w:b/>
          <w:bCs/>
        </w:rPr>
        <w:t>ratio of the dish each person receives</w:t>
      </w:r>
      <w:r>
        <w:t xml:space="preserve"> — and, where the dish has distinct components, </w:t>
      </w:r>
      <w:r>
        <w:rPr>
          <w:b/>
          <w:bCs/>
        </w:rPr>
        <w:t>which components</w:t>
      </w:r>
      <w:r>
        <w:t xml:space="preserve"> (more of the fibre-rich part to whoever needs fibre). This is the dinner-table version of what a thoughtful host already does, made explicit and quantified.</w:t>
      </w:r>
    </w:p>
    <w:p w14:paraId="644447F2" w14:textId="77777777" w:rsidR="00A37EC3" w:rsidRDefault="00107C1C">
      <w:pPr>
        <w:spacing w:after="140" w:line="276" w:lineRule="auto"/>
      </w:pPr>
      <w:r>
        <w:rPr>
          <w:b/>
          <w:bCs/>
        </w:rPr>
        <w:t xml:space="preserve">Worked example. </w:t>
      </w:r>
      <w:r>
        <w:t xml:space="preserve">Rasmus needs 38 g fibre/day, Natasha 25 g. Rasmus eats breakfast (oatmeal + rye ≈ 20 g) and a light lunch; Natasha skips breakfast, takes a 5 g supplement, and a medium lunch (≈ 5 g). Arriving at a shared dinner, Rasmus still needs </w:t>
      </w:r>
      <w:r>
        <w:rPr>
          <w:b/>
          <w:bCs/>
        </w:rPr>
        <w:t>18 g</w:t>
      </w:r>
      <w:r>
        <w:t xml:space="preserve">, Natasha </w:t>
      </w:r>
      <w:r>
        <w:rPr>
          <w:b/>
          <w:bCs/>
        </w:rPr>
        <w:t>10 g</w:t>
      </w:r>
      <w:r>
        <w:t xml:space="preserve"> — so the dinner must carry </w:t>
      </w:r>
      <w:r>
        <w:rPr>
          <w:b/>
          <w:bCs/>
        </w:rPr>
        <w:t>28 g of fibre</w:t>
      </w:r>
      <w:r>
        <w:t>. The match selects a fibre-capable dish; the plating then serves Rasmus the larger / more fibre-dense portion (18/28) and Natasha the smaller (10/28) — in cook-friendly terms: “a bigger helping of the lentils for Rasmus; Natasha, the smaller,” or “the heel of the rye for Rasmus.”</w:t>
      </w:r>
    </w:p>
    <w:p w14:paraId="2A890574" w14:textId="77777777" w:rsidR="00A37EC3" w:rsidRDefault="00107C1C">
      <w:pPr>
        <w:spacing w:after="140" w:line="276" w:lineRule="auto"/>
      </w:pPr>
      <w:r>
        <w:rPr>
          <w:b/>
          <w:bCs/>
        </w:rPr>
        <w:t xml:space="preserve">Honest limits of plating. </w:t>
      </w:r>
      <w:r>
        <w:t xml:space="preserve">One shared dish has one lever per person — portion of each component — so plating can satisfy the </w:t>
      </w:r>
      <w:r>
        <w:rPr>
          <w:i/>
          <w:iCs/>
        </w:rPr>
        <w:t>dominant</w:t>
      </w:r>
      <w:r>
        <w:t xml:space="preserve"> need or two (here fibre and energy), not the whole nutrient vector simultaneously; bigger portion gives more of everything. The harmony score decides what the plating optimises </w:t>
      </w:r>
      <w:r>
        <w:rPr>
          <w:i/>
          <w:iCs/>
        </w:rPr>
        <w:t>for</w:t>
      </w:r>
      <w:r>
        <w:t xml:space="preserve">. Richer plating (“more of </w:t>
      </w:r>
      <w:r>
        <w:rPr>
          <w:i/>
          <w:iCs/>
        </w:rPr>
        <w:t>this</w:t>
      </w:r>
      <w:r>
        <w:t xml:space="preserve"> component”) needs per-component composition — which the meal model already has, since a meal </w:t>
      </w:r>
      <w:r>
        <w:rPr>
          <w:i/>
          <w:iCs/>
        </w:rPr>
        <w:t>is</w:t>
      </w:r>
      <w:r>
        <w:t xml:space="preserve"> composed components.</w:t>
      </w:r>
    </w:p>
    <w:p w14:paraId="65A2F440" w14:textId="77777777" w:rsidR="00A37EC3" w:rsidRDefault="00107C1C">
      <w:pPr>
        <w:spacing w:after="140" w:line="276" w:lineRule="auto"/>
      </w:pPr>
      <w:r>
        <w:rPr>
          <w:b/>
          <w:bCs/>
        </w:rPr>
        <w:t xml:space="preserve">Plating as joy, not just delivery. </w:t>
      </w:r>
      <w:r>
        <w:t xml:space="preserve">The plating recommendation can be a </w:t>
      </w:r>
      <w:r>
        <w:rPr>
          <w:b/>
          <w:bCs/>
        </w:rPr>
        <w:t>section of the recipe</w:t>
      </w:r>
      <w:r>
        <w:t xml:space="preserve"> that adds pleasure to serving, combining </w:t>
      </w:r>
      <w:r>
        <w:rPr>
          <w:i/>
          <w:iCs/>
        </w:rPr>
        <w:t>size</w:t>
      </w:r>
      <w:r>
        <w:t xml:space="preserve"> and </w:t>
      </w:r>
      <w:r>
        <w:rPr>
          <w:i/>
          <w:iCs/>
        </w:rPr>
        <w:t>aesthetics</w:t>
      </w:r>
      <w:r>
        <w:t xml:space="preserve"> — not three-star plating by default, just something that looks nice and gives each person the right amount (“a generous mound of lentils for Rasmus, a neater portion for Natasha”). It can grow: rendered </w:t>
      </w:r>
      <w:r>
        <w:rPr>
          <w:b/>
          <w:bCs/>
        </w:rPr>
        <w:t>plate images per participant</w:t>
      </w:r>
      <w:r>
        <w:t xml:space="preserve"> the cook can follow, swiping between alternatives, up to ambitious three-star plating for those who want it. This reframes plating from a nutrition-delivery mech</w:t>
      </w:r>
      <w:r>
        <w:t>anism into part of the joy of the table — squarely the chef-not-calculator stance.</w:t>
      </w:r>
    </w:p>
    <w:p w14:paraId="37813589" w14:textId="77777777" w:rsidR="00A37EC3" w:rsidRDefault="00107C1C">
      <w:pPr>
        <w:spacing w:after="140" w:line="276" w:lineRule="auto"/>
      </w:pPr>
      <w:r>
        <w:rPr>
          <w:b/>
          <w:bCs/>
          <w:color w:val="2E4638"/>
        </w:rPr>
        <w:t xml:space="preserve">[OPEN] </w:t>
      </w:r>
      <w:r>
        <w:t>Plating granularity: whole-portion (“bigger plate for Rasmus”) first, per-component (“more lentils”) later — confirmed direction; specify the cook-facing language and how it degrades when component data is thin. Rendered plate images are a later effort.</w:t>
      </w:r>
    </w:p>
    <w:p w14:paraId="72EF8D07" w14:textId="77777777" w:rsidR="00A37EC3" w:rsidRDefault="00107C1C">
      <w:pPr>
        <w:pStyle w:val="Heading1"/>
      </w:pPr>
      <w:r>
        <w:t>8. Quality is the evidence grade (no second scale)</w:t>
      </w:r>
    </w:p>
    <w:p w14:paraId="6B023196" w14:textId="77777777" w:rsidR="00A37EC3" w:rsidRDefault="00107C1C">
      <w:pPr>
        <w:spacing w:after="140" w:line="276" w:lineRule="auto"/>
      </w:pPr>
      <w:r>
        <w:t xml:space="preserve">How well we trust a recipe variant — and every value in the cascade — is the same question the Food Model already answers. It uses an </w:t>
      </w:r>
      <w:r>
        <w:rPr>
          <w:b/>
          <w:bCs/>
        </w:rPr>
        <w:t>evidence_grade</w:t>
      </w:r>
      <w:r>
        <w:t xml:space="preserve"> enum (e0_inferred, e1_literature, e2_expert, e3_tested, e4_validated, plus u_user_feedback) with “higher grade wins.” We reuse it rather than </w:t>
      </w:r>
      <w:r>
        <w:lastRenderedPageBreak/>
        <w:t>inventing a parallel scale: an algorithmic fallback is e0; AI-generated is low but higher; chef-authored is e2; lab-tested is e3/e4. The same grading flows through the cascade — a known input is high grade, a population-average guess is e0 — so the plating recommendation inherits an honest confidence.</w:t>
      </w:r>
    </w:p>
    <w:p w14:paraId="4E3544FF" w14:textId="77777777" w:rsidR="00A37EC3" w:rsidRDefault="00107C1C">
      <w:pPr>
        <w:spacing w:after="140" w:line="276" w:lineRule="auto"/>
      </w:pPr>
      <w:r>
        <w:rPr>
          <w:b/>
          <w:bCs/>
        </w:rPr>
        <w:t xml:space="preserve">Three orthogonal axes, kept separate. </w:t>
      </w:r>
      <w:r>
        <w:t xml:space="preserve">“Correct” (evidence grade) is not “good.” A lab-tested recipe can be dull; a quick AI-scaled one can delight. So deliciousness is </w:t>
      </w:r>
      <w:r>
        <w:rPr>
          <w:i/>
          <w:iCs/>
        </w:rPr>
        <w:t>not</w:t>
      </w:r>
      <w:r>
        <w:t xml:space="preserve"> a second global quality number — it is the personal, behavioural </w:t>
      </w:r>
      <w:r>
        <w:rPr>
          <w:b/>
          <w:bCs/>
        </w:rPr>
        <w:t>taste-match</w:t>
      </w:r>
      <w:r>
        <w:t xml:space="preserve"> (§6.2). The model therefore carries three independent signals: </w:t>
      </w:r>
      <w:r>
        <w:rPr>
          <w:b/>
          <w:bCs/>
        </w:rPr>
        <w:t>evidence grade</w:t>
      </w:r>
      <w:r>
        <w:t xml:space="preserve"> (correct), </w:t>
      </w:r>
      <w:r>
        <w:rPr>
          <w:b/>
          <w:bCs/>
        </w:rPr>
        <w:t>taste-match</w:t>
      </w:r>
      <w:r>
        <w:t xml:space="preserve"> (enjoyed-by-you), and </w:t>
      </w:r>
      <w:r>
        <w:rPr>
          <w:b/>
          <w:bCs/>
        </w:rPr>
        <w:t>harmony</w:t>
      </w:r>
      <w:r>
        <w:t xml:space="preserve"> (satisfies + nourishes). Global “widely loved” is only the population rung of taste, never an individual verdict.</w:t>
      </w:r>
    </w:p>
    <w:p w14:paraId="6CA4CE10" w14:textId="77777777" w:rsidR="00A37EC3" w:rsidRDefault="00107C1C">
      <w:pPr>
        <w:pStyle w:val="Heading1"/>
      </w:pPr>
      <w:r>
        <w:t>9. How it sits on what exists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660"/>
      </w:tblGrid>
      <w:tr w:rsidR="00A37EC3" w14:paraId="7DA03BAD" w14:textId="77777777">
        <w:tblPrEx>
          <w:tblCellMar>
            <w:top w:w="0" w:type="dxa"/>
            <w:bottom w:w="0" w:type="dxa"/>
          </w:tblCellMar>
        </w:tblPrEx>
        <w:trPr>
          <w:tblHeader/>
        </w:trPr>
        <w:tc>
          <w:tcPr>
            <w:tcW w:w="2700" w:type="dxa"/>
            <w:tcBorders>
              <w:top w:val="single" w:sz="1" w:space="0" w:color="DAD7D1"/>
              <w:left w:val="single" w:sz="1" w:space="0" w:color="DAD7D1"/>
              <w:bottom w:val="single" w:sz="1" w:space="0" w:color="DAD7D1"/>
              <w:right w:val="single" w:sz="1" w:space="0" w:color="DAD7D1"/>
            </w:tcBorders>
            <w:shd w:val="clear" w:color="auto" w:fill="EFEEE9"/>
            <w:tcMar>
              <w:top w:w="70" w:type="dxa"/>
              <w:left w:w="110" w:type="dxa"/>
              <w:bottom w:w="70" w:type="dxa"/>
              <w:right w:w="110" w:type="dxa"/>
            </w:tcMar>
          </w:tcPr>
          <w:p w14:paraId="09823D71" w14:textId="77777777" w:rsidR="00A37EC3" w:rsidRDefault="00107C1C">
            <w:pPr>
              <w:spacing w:after="20" w:line="252" w:lineRule="auto"/>
            </w:pPr>
            <w:r>
              <w:rPr>
                <w:b/>
                <w:bCs/>
              </w:rPr>
              <w:t>Piece</w:t>
            </w:r>
          </w:p>
        </w:tc>
        <w:tc>
          <w:tcPr>
            <w:tcW w:w="6660" w:type="dxa"/>
            <w:tcBorders>
              <w:top w:val="single" w:sz="1" w:space="0" w:color="DAD7D1"/>
              <w:left w:val="single" w:sz="1" w:space="0" w:color="DAD7D1"/>
              <w:bottom w:val="single" w:sz="1" w:space="0" w:color="DAD7D1"/>
              <w:right w:val="single" w:sz="1" w:space="0" w:color="DAD7D1"/>
            </w:tcBorders>
            <w:shd w:val="clear" w:color="auto" w:fill="EFEEE9"/>
            <w:tcMar>
              <w:top w:w="70" w:type="dxa"/>
              <w:left w:w="110" w:type="dxa"/>
              <w:bottom w:w="70" w:type="dxa"/>
              <w:right w:w="110" w:type="dxa"/>
            </w:tcMar>
          </w:tcPr>
          <w:p w14:paraId="647BD4D1" w14:textId="77777777" w:rsidR="00A37EC3" w:rsidRDefault="00107C1C">
            <w:pPr>
              <w:spacing w:after="20" w:line="252" w:lineRule="auto"/>
            </w:pPr>
            <w:r>
              <w:rPr>
                <w:b/>
                <w:bCs/>
              </w:rPr>
              <w:t>Relationship to the demand model</w:t>
            </w:r>
          </w:p>
        </w:tc>
      </w:tr>
      <w:tr w:rsidR="00A37EC3" w14:paraId="0A93FA8B" w14:textId="77777777">
        <w:tblPrEx>
          <w:tblCellMar>
            <w:top w:w="0" w:type="dxa"/>
            <w:bottom w:w="0" w:type="dxa"/>
          </w:tblCellMar>
        </w:tblPrEx>
        <w:tc>
          <w:tcPr>
            <w:tcW w:w="270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071E4F51" w14:textId="77777777" w:rsidR="00A37EC3" w:rsidRDefault="00107C1C">
            <w:pPr>
              <w:spacing w:after="20" w:line="252" w:lineRule="auto"/>
            </w:pPr>
            <w:r>
              <w:rPr>
                <w:b/>
                <w:bCs/>
              </w:rPr>
              <w:t>person / health_profile</w:t>
            </w:r>
          </w:p>
        </w:tc>
        <w:tc>
          <w:tcPr>
            <w:tcW w:w="666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30D58675" w14:textId="77777777" w:rsidR="00A37EC3" w:rsidRDefault="00107C1C">
            <w:pPr>
              <w:spacing w:after="20" w:line="252" w:lineRule="auto"/>
            </w:pPr>
            <w:r>
              <w:t>Home of nutrient targets, stated habits, and the requirement; DOB/sex/activity/allergies already here.</w:t>
            </w:r>
          </w:p>
        </w:tc>
      </w:tr>
      <w:tr w:rsidR="00A37EC3" w14:paraId="109F2251" w14:textId="77777777">
        <w:tblPrEx>
          <w:tblCellMar>
            <w:top w:w="0" w:type="dxa"/>
            <w:bottom w:w="0" w:type="dxa"/>
          </w:tblCellMar>
        </w:tblPrEx>
        <w:tc>
          <w:tcPr>
            <w:tcW w:w="270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69FF5746" w14:textId="77777777" w:rsidR="00A37EC3" w:rsidRDefault="00107C1C">
            <w:pPr>
              <w:spacing w:after="20" w:line="252" w:lineRule="auto"/>
            </w:pPr>
            <w:r>
              <w:rPr>
                <w:b/>
                <w:bCs/>
              </w:rPr>
              <w:t>Lifestyle / meal-context</w:t>
            </w:r>
          </w:p>
        </w:tc>
        <w:tc>
          <w:tcPr>
            <w:tcW w:w="666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03C3FBCA" w14:textId="77777777" w:rsidR="00A37EC3" w:rsidRDefault="00107C1C">
            <w:pPr>
              <w:spacing w:after="20" w:line="252" w:lineRule="auto"/>
            </w:pPr>
            <w:r>
              <w:t>Anticipated in People &amp; Groups; home of habits, cycle, and the per-occasion override that shape the requirement.</w:t>
            </w:r>
          </w:p>
        </w:tc>
      </w:tr>
      <w:tr w:rsidR="00A37EC3" w14:paraId="36B1B3E5" w14:textId="77777777">
        <w:tblPrEx>
          <w:tblCellMar>
            <w:top w:w="0" w:type="dxa"/>
            <w:bottom w:w="0" w:type="dxa"/>
          </w:tblCellMar>
        </w:tblPrEx>
        <w:tc>
          <w:tcPr>
            <w:tcW w:w="270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43F43E2A" w14:textId="77777777" w:rsidR="00A37EC3" w:rsidRDefault="00107C1C">
            <w:pPr>
              <w:spacing w:after="20" w:line="252" w:lineRule="auto"/>
            </w:pPr>
            <w:r>
              <w:rPr>
                <w:b/>
                <w:bCs/>
              </w:rPr>
              <w:t>Food Model</w:t>
            </w:r>
          </w:p>
        </w:tc>
        <w:tc>
          <w:tcPr>
            <w:tcW w:w="666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0C01A8B4" w14:textId="77777777" w:rsidR="00A37EC3" w:rsidRDefault="00107C1C">
            <w:pPr>
              <w:spacing w:after="20" w:line="252" w:lineRule="auto"/>
            </w:pPr>
            <w:r>
              <w:t>Supplies cooking-adjusted per-ingredient nutrition and the composition behind satiety estimates; and the evidence_grade vocabulary.</w:t>
            </w:r>
          </w:p>
        </w:tc>
      </w:tr>
      <w:tr w:rsidR="00A37EC3" w14:paraId="0D0D214E" w14:textId="77777777">
        <w:tblPrEx>
          <w:tblCellMar>
            <w:top w:w="0" w:type="dxa"/>
            <w:bottom w:w="0" w:type="dxa"/>
          </w:tblCellMar>
        </w:tblPrEx>
        <w:tc>
          <w:tcPr>
            <w:tcW w:w="270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5A4F1C00" w14:textId="77777777" w:rsidR="00A37EC3" w:rsidRDefault="00107C1C">
            <w:pPr>
              <w:spacing w:after="20" w:line="252" w:lineRule="auto"/>
            </w:pPr>
            <w:r>
              <w:rPr>
                <w:b/>
                <w:bCs/>
              </w:rPr>
              <w:t>meal / meal_component</w:t>
            </w:r>
          </w:p>
        </w:tc>
        <w:tc>
          <w:tcPr>
            <w:tcW w:w="666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27F2149A" w14:textId="77777777" w:rsidR="00A37EC3" w:rsidRDefault="00107C1C">
            <w:pPr>
              <w:spacing w:after="20" w:line="252" w:lineRule="auto"/>
            </w:pPr>
            <w:r>
              <w:t>Meals are composed components with per-component nutrition — exactly what per-component plating needs. Requirement aggregates across participants.</w:t>
            </w:r>
          </w:p>
        </w:tc>
      </w:tr>
      <w:tr w:rsidR="00A37EC3" w14:paraId="056A4FEC" w14:textId="77777777">
        <w:tblPrEx>
          <w:tblCellMar>
            <w:top w:w="0" w:type="dxa"/>
            <w:bottom w:w="0" w:type="dxa"/>
          </w:tblCellMar>
        </w:tblPrEx>
        <w:tc>
          <w:tcPr>
            <w:tcW w:w="270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4BC35A25" w14:textId="77777777" w:rsidR="00A37EC3" w:rsidRDefault="00107C1C">
            <w:pPr>
              <w:spacing w:after="20" w:line="252" w:lineRule="auto"/>
            </w:pPr>
            <w:r>
              <w:rPr>
                <w:b/>
                <w:bCs/>
              </w:rPr>
              <w:t>execution_variants (Spec v2)</w:t>
            </w:r>
          </w:p>
        </w:tc>
        <w:tc>
          <w:tcPr>
            <w:tcW w:w="666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206608BF" w14:textId="77777777" w:rsidR="00A37EC3" w:rsidRDefault="00107C1C">
            <w:pPr>
              <w:spacing w:after="20" w:line="252" w:lineRule="auto"/>
            </w:pPr>
            <w:r>
              <w:t>The variant store for sizes/preferences; the match reads it. An open item is reconciling discrete authored variants with the gap concept (Doc B).</w:t>
            </w:r>
          </w:p>
        </w:tc>
      </w:tr>
      <w:tr w:rsidR="00A37EC3" w14:paraId="6E2812E4" w14:textId="77777777">
        <w:tblPrEx>
          <w:tblCellMar>
            <w:top w:w="0" w:type="dxa"/>
            <w:bottom w:w="0" w:type="dxa"/>
          </w:tblCellMar>
        </w:tblPrEx>
        <w:tc>
          <w:tcPr>
            <w:tcW w:w="270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5A88BD9D" w14:textId="77777777" w:rsidR="00A37EC3" w:rsidRDefault="00107C1C">
            <w:pPr>
              <w:spacing w:after="20" w:line="252" w:lineRule="auto"/>
            </w:pPr>
            <w:r>
              <w:rPr>
                <w:b/>
                <w:bCs/>
              </w:rPr>
              <w:t>ai_usage_log / credits</w:t>
            </w:r>
          </w:p>
        </w:tc>
        <w:tc>
          <w:tcPr>
            <w:tcW w:w="666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4ADF28AB" w14:textId="77777777" w:rsidR="00A37EC3" w:rsidRDefault="00107C1C">
            <w:pPr>
              <w:spacing w:after="20" w:line="252" w:lineRule="auto"/>
            </w:pPr>
            <w:r>
              <w:t>Any AI generation and “pay to jump the queue” (Doc B) build on the metering and credit model.</w:t>
            </w:r>
          </w:p>
        </w:tc>
      </w:tr>
      <w:tr w:rsidR="00A37EC3" w14:paraId="4D9E433B" w14:textId="77777777">
        <w:tblPrEx>
          <w:tblCellMar>
            <w:top w:w="0" w:type="dxa"/>
            <w:bottom w:w="0" w:type="dxa"/>
          </w:tblCellMar>
        </w:tblPrEx>
        <w:tc>
          <w:tcPr>
            <w:tcW w:w="270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1269AED1" w14:textId="77777777" w:rsidR="00A37EC3" w:rsidRDefault="00107C1C">
            <w:pPr>
              <w:spacing w:after="20" w:line="252" w:lineRule="auto"/>
            </w:pPr>
            <w:r>
              <w:rPr>
                <w:b/>
                <w:bCs/>
              </w:rPr>
              <w:t>Residency seam</w:t>
            </w:r>
          </w:p>
        </w:tc>
        <w:tc>
          <w:tcPr>
            <w:tcW w:w="666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7B64304F" w14:textId="77777777" w:rsidR="00A37EC3" w:rsidRDefault="00107C1C">
            <w:pPr>
              <w:spacing w:after="20" w:line="252" w:lineRule="auto"/>
            </w:pPr>
            <w:r>
              <w:t>Requirement/profile is personal data (in-region); recipes/Food Model are shared catalog (global).</w:t>
            </w:r>
          </w:p>
        </w:tc>
      </w:tr>
    </w:tbl>
    <w:p w14:paraId="4B860414" w14:textId="77777777" w:rsidR="00A37EC3" w:rsidRDefault="00107C1C">
      <w:pPr>
        <w:pStyle w:val="Heading1"/>
      </w:pPr>
      <w:r>
        <w:t>10. Phased build plan</w:t>
      </w:r>
    </w:p>
    <w:p w14:paraId="6F573E57" w14:textId="77777777" w:rsidR="00A37EC3" w:rsidRDefault="00107C1C">
      <w:pPr>
        <w:spacing w:after="140" w:line="276" w:lineRule="auto"/>
      </w:pPr>
      <w:r>
        <w:t>Each phase ships value on the existing schema; depth grows over time. Nothing is built until the open decisions are settled.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060"/>
        <w:gridCol w:w="3400"/>
      </w:tblGrid>
      <w:tr w:rsidR="00A37EC3" w14:paraId="3400D868" w14:textId="77777777">
        <w:tblPrEx>
          <w:tblCellMar>
            <w:top w:w="0" w:type="dxa"/>
            <w:bottom w:w="0" w:type="dxa"/>
          </w:tblCellMar>
        </w:tblPrEx>
        <w:trPr>
          <w:tblHeader/>
        </w:trPr>
        <w:tc>
          <w:tcPr>
            <w:tcW w:w="1900" w:type="dxa"/>
            <w:tcBorders>
              <w:top w:val="single" w:sz="1" w:space="0" w:color="DAD7D1"/>
              <w:left w:val="single" w:sz="1" w:space="0" w:color="DAD7D1"/>
              <w:bottom w:val="single" w:sz="1" w:space="0" w:color="DAD7D1"/>
              <w:right w:val="single" w:sz="1" w:space="0" w:color="DAD7D1"/>
            </w:tcBorders>
            <w:shd w:val="clear" w:color="auto" w:fill="EFEEE9"/>
            <w:tcMar>
              <w:top w:w="70" w:type="dxa"/>
              <w:left w:w="110" w:type="dxa"/>
              <w:bottom w:w="70" w:type="dxa"/>
              <w:right w:w="110" w:type="dxa"/>
            </w:tcMar>
          </w:tcPr>
          <w:p w14:paraId="00FF8FF6" w14:textId="77777777" w:rsidR="00A37EC3" w:rsidRDefault="00107C1C">
            <w:pPr>
              <w:spacing w:after="20" w:line="252" w:lineRule="auto"/>
            </w:pPr>
            <w:r>
              <w:rPr>
                <w:b/>
                <w:bCs/>
              </w:rPr>
              <w:t>Phase</w:t>
            </w:r>
          </w:p>
        </w:tc>
        <w:tc>
          <w:tcPr>
            <w:tcW w:w="4060" w:type="dxa"/>
            <w:tcBorders>
              <w:top w:val="single" w:sz="1" w:space="0" w:color="DAD7D1"/>
              <w:left w:val="single" w:sz="1" w:space="0" w:color="DAD7D1"/>
              <w:bottom w:val="single" w:sz="1" w:space="0" w:color="DAD7D1"/>
              <w:right w:val="single" w:sz="1" w:space="0" w:color="DAD7D1"/>
            </w:tcBorders>
            <w:shd w:val="clear" w:color="auto" w:fill="EFEEE9"/>
            <w:tcMar>
              <w:top w:w="70" w:type="dxa"/>
              <w:left w:w="110" w:type="dxa"/>
              <w:bottom w:w="70" w:type="dxa"/>
              <w:right w:w="110" w:type="dxa"/>
            </w:tcMar>
          </w:tcPr>
          <w:p w14:paraId="674289AF" w14:textId="77777777" w:rsidR="00A37EC3" w:rsidRDefault="00107C1C">
            <w:pPr>
              <w:spacing w:after="20" w:line="252" w:lineRule="auto"/>
            </w:pPr>
            <w:r>
              <w:rPr>
                <w:b/>
                <w:bCs/>
              </w:rPr>
              <w:t>Deliverable</w:t>
            </w:r>
          </w:p>
        </w:tc>
        <w:tc>
          <w:tcPr>
            <w:tcW w:w="3400" w:type="dxa"/>
            <w:tcBorders>
              <w:top w:val="single" w:sz="1" w:space="0" w:color="DAD7D1"/>
              <w:left w:val="single" w:sz="1" w:space="0" w:color="DAD7D1"/>
              <w:bottom w:val="single" w:sz="1" w:space="0" w:color="DAD7D1"/>
              <w:right w:val="single" w:sz="1" w:space="0" w:color="DAD7D1"/>
            </w:tcBorders>
            <w:shd w:val="clear" w:color="auto" w:fill="EFEEE9"/>
            <w:tcMar>
              <w:top w:w="70" w:type="dxa"/>
              <w:left w:w="110" w:type="dxa"/>
              <w:bottom w:w="70" w:type="dxa"/>
              <w:right w:w="110" w:type="dxa"/>
            </w:tcMar>
          </w:tcPr>
          <w:p w14:paraId="7EA8FD0D" w14:textId="77777777" w:rsidR="00A37EC3" w:rsidRDefault="00107C1C">
            <w:pPr>
              <w:spacing w:after="20" w:line="252" w:lineRule="auto"/>
            </w:pPr>
            <w:r>
              <w:rPr>
                <w:b/>
                <w:bCs/>
              </w:rPr>
              <w:t>Why this order</w:t>
            </w:r>
          </w:p>
        </w:tc>
      </w:tr>
      <w:tr w:rsidR="00A37EC3" w14:paraId="621CABD7" w14:textId="77777777">
        <w:tblPrEx>
          <w:tblCellMar>
            <w:top w:w="0" w:type="dxa"/>
            <w:bottom w:w="0" w:type="dxa"/>
          </w:tblCellMar>
        </w:tblPrEx>
        <w:tc>
          <w:tcPr>
            <w:tcW w:w="190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1F7ACADA" w14:textId="77777777" w:rsidR="00A37EC3" w:rsidRDefault="00107C1C">
            <w:pPr>
              <w:spacing w:after="20" w:line="252" w:lineRule="auto"/>
            </w:pPr>
            <w:r>
              <w:rPr>
                <w:b/>
                <w:bCs/>
              </w:rPr>
              <w:t>0 — Requirement basics</w:t>
            </w:r>
          </w:p>
        </w:tc>
        <w:tc>
          <w:tcPr>
            <w:tcW w:w="406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44C4C218" w14:textId="77777777" w:rsidR="00A37EC3" w:rsidRDefault="00107C1C">
            <w:pPr>
              <w:spacing w:after="20" w:line="252" w:lineRule="auto"/>
            </w:pPr>
            <w:r>
              <w:t>Per-person daily nutrient + energy targets from the profile; population-average defaults; the cascade scaffold (known→average) with confidence.</w:t>
            </w:r>
          </w:p>
        </w:tc>
        <w:tc>
          <w:tcPr>
            <w:tcW w:w="340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4B56F5B3" w14:textId="77777777" w:rsidR="00A37EC3" w:rsidRDefault="00107C1C">
            <w:pPr>
              <w:spacing w:after="20" w:line="252" w:lineRule="auto"/>
            </w:pPr>
            <w:r>
              <w:t>The foundation; works for any user, however little we know.</w:t>
            </w:r>
          </w:p>
        </w:tc>
      </w:tr>
      <w:tr w:rsidR="00A37EC3" w14:paraId="0B7BE798" w14:textId="77777777">
        <w:tblPrEx>
          <w:tblCellMar>
            <w:top w:w="0" w:type="dxa"/>
            <w:bottom w:w="0" w:type="dxa"/>
          </w:tblCellMar>
        </w:tblPrEx>
        <w:tc>
          <w:tcPr>
            <w:tcW w:w="190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00F952D1" w14:textId="77777777" w:rsidR="00A37EC3" w:rsidRDefault="00107C1C">
            <w:pPr>
              <w:spacing w:after="20" w:line="252" w:lineRule="auto"/>
            </w:pPr>
            <w:r>
              <w:rPr>
                <w:b/>
                <w:bCs/>
              </w:rPr>
              <w:lastRenderedPageBreak/>
              <w:t>1 — Match &amp; plate (whole-portion)</w:t>
            </w:r>
          </w:p>
        </w:tc>
        <w:tc>
          <w:tcPr>
            <w:tcW w:w="406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77EACB21" w14:textId="77777777" w:rsidR="00A37EC3" w:rsidRDefault="00107C1C">
            <w:pPr>
              <w:spacing w:after="20" w:line="252" w:lineRule="auto"/>
            </w:pPr>
            <w:r>
              <w:t>Aggregate the requirement across participants; closeness-score candidate meals; output a whole-portion per-person recommendation.</w:t>
            </w:r>
          </w:p>
        </w:tc>
        <w:tc>
          <w:tcPr>
            <w:tcW w:w="340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057F9B77" w14:textId="77777777" w:rsidR="00A37EC3" w:rsidRDefault="00107C1C">
            <w:pPr>
              <w:spacing w:after="20" w:line="252" w:lineRule="auto"/>
            </w:pPr>
            <w:r>
              <w:t>Delivers the headline value on data we have; plating starts simple.</w:t>
            </w:r>
          </w:p>
        </w:tc>
      </w:tr>
      <w:tr w:rsidR="00A37EC3" w14:paraId="1A8B96B2" w14:textId="77777777">
        <w:tblPrEx>
          <w:tblCellMar>
            <w:top w:w="0" w:type="dxa"/>
            <w:bottom w:w="0" w:type="dxa"/>
          </w:tblCellMar>
        </w:tblPrEx>
        <w:tc>
          <w:tcPr>
            <w:tcW w:w="190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2B707103" w14:textId="77777777" w:rsidR="00A37EC3" w:rsidRDefault="00107C1C">
            <w:pPr>
              <w:spacing w:after="20" w:line="252" w:lineRule="auto"/>
            </w:pPr>
            <w:r>
              <w:rPr>
                <w:b/>
                <w:bCs/>
              </w:rPr>
              <w:t>2 — Ask + habits</w:t>
            </w:r>
          </w:p>
        </w:tc>
        <w:tc>
          <w:tcPr>
            <w:tcW w:w="406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13AC3BD0" w14:textId="77777777" w:rsidR="00A37EC3" w:rsidRDefault="00107C1C">
            <w:pPr>
              <w:spacing w:after="20" w:line="252" w:lineRule="auto"/>
            </w:pPr>
            <w:r>
              <w:t>The butler “ask” rung and stated-habit segments; daily running balance for those who share their day.</w:t>
            </w:r>
          </w:p>
        </w:tc>
        <w:tc>
          <w:tcPr>
            <w:tcW w:w="340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517F451F" w14:textId="77777777" w:rsidR="00A37EC3" w:rsidRDefault="00107C1C">
            <w:pPr>
              <w:spacing w:after="20" w:line="252" w:lineRule="auto"/>
            </w:pPr>
            <w:r>
              <w:t>Raises confidence where it changes the answer; powers the worked example.</w:t>
            </w:r>
          </w:p>
        </w:tc>
      </w:tr>
      <w:tr w:rsidR="00A37EC3" w14:paraId="3ACC5244" w14:textId="77777777">
        <w:tblPrEx>
          <w:tblCellMar>
            <w:top w:w="0" w:type="dxa"/>
            <w:bottom w:w="0" w:type="dxa"/>
          </w:tblCellMar>
        </w:tblPrEx>
        <w:tc>
          <w:tcPr>
            <w:tcW w:w="190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7820FBBC" w14:textId="77777777" w:rsidR="00A37EC3" w:rsidRDefault="00107C1C">
            <w:pPr>
              <w:spacing w:after="20" w:line="252" w:lineRule="auto"/>
            </w:pPr>
            <w:r>
              <w:rPr>
                <w:b/>
                <w:bCs/>
              </w:rPr>
              <w:t>3 — Satiety &amp; taste</w:t>
            </w:r>
          </w:p>
        </w:tc>
        <w:tc>
          <w:tcPr>
            <w:tcW w:w="406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246649AB" w14:textId="77777777" w:rsidR="00A37EC3" w:rsidRDefault="00107C1C">
            <w:pPr>
              <w:spacing w:after="20" w:line="252" w:lineRule="auto"/>
            </w:pPr>
            <w:r>
              <w:t>Composition-based satiety estimate per dish; behavioural taste-match (with cohort cold-start); both folded into the blend.</w:t>
            </w:r>
          </w:p>
        </w:tc>
        <w:tc>
          <w:tcPr>
            <w:tcW w:w="340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0324EE08" w14:textId="77777777" w:rsidR="00A37EC3" w:rsidRDefault="00107C1C">
            <w:pPr>
              <w:spacing w:after="20" w:line="252" w:lineRule="auto"/>
            </w:pPr>
            <w:r>
              <w:t>Adds the feeling and enjoyment axes; satiety needs Food Model coverage, taste needs behavioural data.</w:t>
            </w:r>
          </w:p>
        </w:tc>
      </w:tr>
      <w:tr w:rsidR="00A37EC3" w14:paraId="07369254" w14:textId="77777777">
        <w:tblPrEx>
          <w:tblCellMar>
            <w:top w:w="0" w:type="dxa"/>
            <w:bottom w:w="0" w:type="dxa"/>
          </w:tblCellMar>
        </w:tblPrEx>
        <w:tc>
          <w:tcPr>
            <w:tcW w:w="190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4B7CDEBC" w14:textId="77777777" w:rsidR="00A37EC3" w:rsidRDefault="00107C1C">
            <w:pPr>
              <w:spacing w:after="20" w:line="252" w:lineRule="auto"/>
            </w:pPr>
            <w:r>
              <w:rPr>
                <w:b/>
                <w:bCs/>
              </w:rPr>
              <w:t>4 — Per-component plating</w:t>
            </w:r>
          </w:p>
        </w:tc>
        <w:tc>
          <w:tcPr>
            <w:tcW w:w="406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1079AF96" w14:textId="77777777" w:rsidR="00A37EC3" w:rsidRDefault="00107C1C">
            <w:pPr>
              <w:spacing w:after="20" w:line="252" w:lineRule="auto"/>
            </w:pPr>
            <w:r>
              <w:t>“More of this component” recommendations using per-component composition.</w:t>
            </w:r>
          </w:p>
        </w:tc>
        <w:tc>
          <w:tcPr>
            <w:tcW w:w="340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2751C671" w14:textId="77777777" w:rsidR="00A37EC3" w:rsidRDefault="00107C1C">
            <w:pPr>
              <w:spacing w:after="20" w:line="252" w:lineRule="auto"/>
            </w:pPr>
            <w:r>
              <w:t>The precise version; needs component nutrition coverage.</w:t>
            </w:r>
          </w:p>
        </w:tc>
      </w:tr>
      <w:tr w:rsidR="00A37EC3" w14:paraId="137ACEC6" w14:textId="77777777">
        <w:tblPrEx>
          <w:tblCellMar>
            <w:top w:w="0" w:type="dxa"/>
            <w:bottom w:w="0" w:type="dxa"/>
          </w:tblCellMar>
        </w:tblPrEx>
        <w:tc>
          <w:tcPr>
            <w:tcW w:w="190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5398599C" w14:textId="77777777" w:rsidR="00A37EC3" w:rsidRDefault="00107C1C">
            <w:pPr>
              <w:spacing w:after="20" w:line="252" w:lineRule="auto"/>
            </w:pPr>
            <w:r>
              <w:rPr>
                <w:b/>
                <w:bCs/>
              </w:rPr>
              <w:t>5 — Goals overlay</w:t>
            </w:r>
          </w:p>
        </w:tc>
        <w:tc>
          <w:tcPr>
            <w:tcW w:w="406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16B29F40" w14:textId="77777777" w:rsidR="00A37EC3" w:rsidRDefault="00107C1C">
            <w:pPr>
              <w:spacing w:after="20" w:line="252" w:lineRule="auto"/>
            </w:pPr>
            <w:r>
              <w:t>Opt-in goals (maintenance/loss/performance/medical) shaping the nutrition axis.</w:t>
            </w:r>
          </w:p>
        </w:tc>
        <w:tc>
          <w:tcPr>
            <w:tcW w:w="340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5D940B1A" w14:textId="77777777" w:rsidR="00A37EC3" w:rsidRDefault="00107C1C">
            <w:pPr>
              <w:spacing w:after="20" w:line="252" w:lineRule="auto"/>
            </w:pPr>
            <w:r>
              <w:t>Higher sensitivity; on a proven, humane base.</w:t>
            </w:r>
          </w:p>
        </w:tc>
      </w:tr>
      <w:tr w:rsidR="00A37EC3" w14:paraId="61F21C79" w14:textId="77777777">
        <w:tblPrEx>
          <w:tblCellMar>
            <w:top w:w="0" w:type="dxa"/>
            <w:bottom w:w="0" w:type="dxa"/>
          </w:tblCellMar>
        </w:tblPrEx>
        <w:tc>
          <w:tcPr>
            <w:tcW w:w="190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695B2BBD" w14:textId="77777777" w:rsidR="00A37EC3" w:rsidRDefault="00107C1C">
            <w:pPr>
              <w:spacing w:after="20" w:line="252" w:lineRule="auto"/>
            </w:pPr>
            <w:r>
              <w:t>(Doc B)</w:t>
            </w:r>
          </w:p>
        </w:tc>
        <w:tc>
          <w:tcPr>
            <w:tcW w:w="406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69A9D922" w14:textId="77777777" w:rsidR="00A37EC3" w:rsidRDefault="00107C1C">
            <w:pPr>
              <w:spacing w:after="20" w:line="252" w:lineRule="auto"/>
            </w:pPr>
            <w:r>
              <w:t>Provisioning pipeline that fills missing variants with AI/chef/lab, budgeted by demand.</w:t>
            </w:r>
          </w:p>
        </w:tc>
        <w:tc>
          <w:tcPr>
            <w:tcW w:w="3400" w:type="dxa"/>
            <w:tcBorders>
              <w:top w:val="single" w:sz="1" w:space="0" w:color="DAD7D1"/>
              <w:left w:val="single" w:sz="1" w:space="0" w:color="DAD7D1"/>
              <w:bottom w:val="single" w:sz="1" w:space="0" w:color="DAD7D1"/>
              <w:right w:val="single" w:sz="1" w:space="0" w:color="DAD7D1"/>
            </w:tcBorders>
            <w:tcMar>
              <w:top w:w="70" w:type="dxa"/>
              <w:left w:w="110" w:type="dxa"/>
              <w:bottom w:w="70" w:type="dxa"/>
              <w:right w:w="110" w:type="dxa"/>
            </w:tcMar>
          </w:tcPr>
          <w:p w14:paraId="33FBE7A3" w14:textId="77777777" w:rsidR="00A37EC3" w:rsidRDefault="00107C1C">
            <w:pPr>
              <w:spacing w:after="20" w:line="252" w:lineRule="auto"/>
            </w:pPr>
            <w:r>
              <w:t>Separate operational system; the demand model feeds it.</w:t>
            </w:r>
          </w:p>
        </w:tc>
      </w:tr>
    </w:tbl>
    <w:p w14:paraId="203B3A02" w14:textId="77777777" w:rsidR="00A37EC3" w:rsidRDefault="00107C1C">
      <w:pPr>
        <w:pStyle w:val="Heading1"/>
      </w:pPr>
      <w:r>
        <w:t>11. Open decisions (to settle before building)</w:t>
      </w:r>
    </w:p>
    <w:p w14:paraId="1B2D0F5C" w14:textId="77777777" w:rsidR="00A37EC3" w:rsidRDefault="00107C1C">
      <w:pPr>
        <w:spacing w:after="140" w:line="276" w:lineRule="auto"/>
      </w:pPr>
      <w:r>
        <w:t>Several v0.2 items are now resolved (taste-match absorbs “want”; score is internal-only, explained on request; correctness vs. quality → three separate axes; satiety-first blend; butler popover). What remains:</w:t>
      </w:r>
    </w:p>
    <w:p w14:paraId="2AB2EB7A" w14:textId="77777777" w:rsidR="00A37EC3" w:rsidRDefault="00107C1C">
      <w:pPr>
        <w:pStyle w:val="ListParagraph"/>
        <w:numPr>
          <w:ilvl w:val="0"/>
          <w:numId w:val="4"/>
        </w:numPr>
        <w:spacing w:after="80" w:line="268" w:lineRule="auto"/>
      </w:pPr>
      <w:r>
        <w:rPr>
          <w:b/>
          <w:bCs/>
        </w:rPr>
        <w:t xml:space="preserve">Permissible butler questions. </w:t>
      </w:r>
      <w:r>
        <w:t>The small set of warm, non-intrusive asks for the popover, and the rule for when asking is warranted vs. over-asking.</w:t>
      </w:r>
    </w:p>
    <w:p w14:paraId="2D0083DC" w14:textId="77777777" w:rsidR="00A37EC3" w:rsidRDefault="00107C1C">
      <w:pPr>
        <w:pStyle w:val="ListParagraph"/>
        <w:numPr>
          <w:ilvl w:val="0"/>
          <w:numId w:val="4"/>
        </w:numPr>
        <w:spacing w:after="80" w:line="268" w:lineRule="auto"/>
      </w:pPr>
      <w:r>
        <w:rPr>
          <w:b/>
          <w:bCs/>
        </w:rPr>
        <w:t xml:space="preserve">Default daily template. </w:t>
      </w:r>
      <w:r>
        <w:t>The population-average day/occasion template for a complete unknown, and how occasion shares are set before we know the day.</w:t>
      </w:r>
    </w:p>
    <w:p w14:paraId="07CF4EEA" w14:textId="77777777" w:rsidR="00A37EC3" w:rsidRDefault="00107C1C">
      <w:pPr>
        <w:pStyle w:val="ListParagraph"/>
        <w:numPr>
          <w:ilvl w:val="0"/>
          <w:numId w:val="4"/>
        </w:numPr>
        <w:spacing w:after="80" w:line="268" w:lineRule="auto"/>
      </w:pPr>
      <w:r>
        <w:rPr>
          <w:b/>
          <w:bCs/>
        </w:rPr>
        <w:t xml:space="preserve">Satiety/nutrition weighting. </w:t>
      </w:r>
      <w:r>
        <w:t>How strongly satiety constrains vs. nutrition optimises — motivated by adherence literature, tuned with real data.</w:t>
      </w:r>
    </w:p>
    <w:p w14:paraId="37131F21" w14:textId="77777777" w:rsidR="00A37EC3" w:rsidRDefault="00107C1C">
      <w:pPr>
        <w:pStyle w:val="ListParagraph"/>
        <w:numPr>
          <w:ilvl w:val="0"/>
          <w:numId w:val="4"/>
        </w:numPr>
        <w:spacing w:after="80" w:line="268" w:lineRule="auto"/>
      </w:pPr>
      <w:r>
        <w:rPr>
          <w:b/>
          <w:bCs/>
        </w:rPr>
        <w:t xml:space="preserve">Participant aggregation. </w:t>
      </w:r>
      <w:r>
        <w:t>Energy sums across eaters, but per-person nutritional adequacy does not. Match the group total, each-person-adequately, or a compromise?</w:t>
      </w:r>
    </w:p>
    <w:p w14:paraId="739E10B3" w14:textId="77777777" w:rsidR="00A37EC3" w:rsidRDefault="00107C1C">
      <w:pPr>
        <w:pStyle w:val="ListParagraph"/>
        <w:numPr>
          <w:ilvl w:val="0"/>
          <w:numId w:val="4"/>
        </w:numPr>
        <w:spacing w:after="80" w:line="268" w:lineRule="auto"/>
      </w:pPr>
      <w:r>
        <w:rPr>
          <w:b/>
          <w:bCs/>
        </w:rPr>
        <w:t xml:space="preserve">Taste-match cold start &amp; sparsity. </w:t>
      </w:r>
      <w:r>
        <w:t>How long to lean on cohort popularity, and how to keep variety/nutrition in so taste-match never collapses the diet.</w:t>
      </w:r>
    </w:p>
    <w:p w14:paraId="11F38975" w14:textId="77777777" w:rsidR="00A37EC3" w:rsidRDefault="00107C1C">
      <w:pPr>
        <w:pStyle w:val="ListParagraph"/>
        <w:numPr>
          <w:ilvl w:val="0"/>
          <w:numId w:val="4"/>
        </w:numPr>
        <w:spacing w:after="80" w:line="268" w:lineRule="auto"/>
      </w:pPr>
      <w:r>
        <w:rPr>
          <w:b/>
          <w:bCs/>
        </w:rPr>
        <w:t xml:space="preserve">Plating granularity &amp; language. </w:t>
      </w:r>
      <w:r>
        <w:t>Whole-portion first, per-component later; cook-facing phrasing; when rendered plate images are worth building.</w:t>
      </w:r>
    </w:p>
    <w:p w14:paraId="46ED0CAB" w14:textId="77777777" w:rsidR="00A37EC3" w:rsidRDefault="00107C1C">
      <w:pPr>
        <w:pStyle w:val="ListParagraph"/>
        <w:numPr>
          <w:ilvl w:val="0"/>
          <w:numId w:val="4"/>
        </w:numPr>
        <w:spacing w:after="80" w:line="268" w:lineRule="auto"/>
      </w:pPr>
      <w:r>
        <w:rPr>
          <w:b/>
          <w:bCs/>
        </w:rPr>
        <w:lastRenderedPageBreak/>
        <w:t xml:space="preserve">execution_variants reconciliation — Claude to inspect. </w:t>
      </w:r>
      <w:r>
        <w:t>Whether the live schema stores variants as discrete authored sizes + a gap marker, or needs a migration, is a question about the actual database, not the v2 spec. To be answered by inspecting the live schema (read-only), then reflected here.</w:t>
      </w:r>
    </w:p>
    <w:p w14:paraId="0F0BDAAF" w14:textId="77777777" w:rsidR="00A37EC3" w:rsidRDefault="00107C1C">
      <w:pPr>
        <w:pStyle w:val="ListParagraph"/>
        <w:numPr>
          <w:ilvl w:val="0"/>
          <w:numId w:val="4"/>
        </w:numPr>
        <w:spacing w:after="80" w:line="268" w:lineRule="auto"/>
      </w:pPr>
      <w:r>
        <w:rPr>
          <w:b/>
          <w:bCs/>
        </w:rPr>
        <w:t xml:space="preserve">Vulnerable-user safeguards (recommendations). </w:t>
      </w:r>
      <w:r>
        <w:t>Beyond the optional popover: rules so the requirement and blend never encourage restriction; what triggers a gentler mode.</w:t>
      </w:r>
    </w:p>
    <w:p w14:paraId="54D127E4" w14:textId="77777777" w:rsidR="00A37EC3" w:rsidRDefault="00107C1C">
      <w:pPr>
        <w:pStyle w:val="ListParagraph"/>
        <w:numPr>
          <w:ilvl w:val="0"/>
          <w:numId w:val="4"/>
        </w:numPr>
        <w:spacing w:after="80" w:line="268" w:lineRule="auto"/>
      </w:pPr>
      <w:r>
        <w:rPr>
          <w:b/>
          <w:bCs/>
        </w:rPr>
        <w:t xml:space="preserve">Confidence display. </w:t>
      </w:r>
      <w:r>
        <w:t>How the rung / evidence grade behind a recommendation softens the language when we are guessing, without clutter.</w:t>
      </w:r>
    </w:p>
    <w:p w14:paraId="76F43822" w14:textId="77777777" w:rsidR="00A37EC3" w:rsidRDefault="00107C1C">
      <w:pPr>
        <w:spacing w:before="200" w:after="120"/>
      </w:pPr>
      <w:r>
        <w:rPr>
          <w:b/>
          <w:bCs/>
        </w:rPr>
        <w:t xml:space="preserve">Next step. </w:t>
      </w:r>
      <w:r>
        <w:t>Review and mark up the decisions, then pick a starting phase — Phase 0 (requirement basics + the cascade scaffold) is the natural entry. Doc B (Content Provisioning &amp; Budget) follows.</w:t>
      </w:r>
    </w:p>
    <w:sectPr w:rsidR="00A37EC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97618"/>
    <w:multiLevelType w:val="hybridMultilevel"/>
    <w:tmpl w:val="8FC893B8"/>
    <w:lvl w:ilvl="0" w:tplc="609CD0DC">
      <w:start w:val="1"/>
      <w:numFmt w:val="decimal"/>
      <w:lvlText w:val="%1."/>
      <w:lvlJc w:val="left"/>
      <w:pPr>
        <w:ind w:left="540" w:hanging="260"/>
      </w:pPr>
    </w:lvl>
    <w:lvl w:ilvl="1" w:tplc="433CBDD8">
      <w:numFmt w:val="decimal"/>
      <w:lvlText w:val=""/>
      <w:lvlJc w:val="left"/>
    </w:lvl>
    <w:lvl w:ilvl="2" w:tplc="BBD08E9C">
      <w:numFmt w:val="decimal"/>
      <w:lvlText w:val=""/>
      <w:lvlJc w:val="left"/>
    </w:lvl>
    <w:lvl w:ilvl="3" w:tplc="653C2BEC">
      <w:numFmt w:val="decimal"/>
      <w:lvlText w:val=""/>
      <w:lvlJc w:val="left"/>
    </w:lvl>
    <w:lvl w:ilvl="4" w:tplc="75BAD6B2">
      <w:numFmt w:val="decimal"/>
      <w:lvlText w:val=""/>
      <w:lvlJc w:val="left"/>
    </w:lvl>
    <w:lvl w:ilvl="5" w:tplc="19A420D0">
      <w:numFmt w:val="decimal"/>
      <w:lvlText w:val=""/>
      <w:lvlJc w:val="left"/>
    </w:lvl>
    <w:lvl w:ilvl="6" w:tplc="339EB282">
      <w:numFmt w:val="decimal"/>
      <w:lvlText w:val=""/>
      <w:lvlJc w:val="left"/>
    </w:lvl>
    <w:lvl w:ilvl="7" w:tplc="D65E5E58">
      <w:numFmt w:val="decimal"/>
      <w:lvlText w:val=""/>
      <w:lvlJc w:val="left"/>
    </w:lvl>
    <w:lvl w:ilvl="8" w:tplc="AA70FF6A">
      <w:numFmt w:val="decimal"/>
      <w:lvlText w:val=""/>
      <w:lvlJc w:val="left"/>
    </w:lvl>
  </w:abstractNum>
  <w:abstractNum w:abstractNumId="1" w15:restartNumberingAfterBreak="0">
    <w:nsid w:val="4C6C16FD"/>
    <w:multiLevelType w:val="hybridMultilevel"/>
    <w:tmpl w:val="496ABB22"/>
    <w:lvl w:ilvl="0" w:tplc="BFE06EF4">
      <w:start w:val="1"/>
      <w:numFmt w:val="bullet"/>
      <w:lvlText w:val="•"/>
      <w:lvlJc w:val="left"/>
      <w:pPr>
        <w:ind w:left="540" w:hanging="260"/>
      </w:pPr>
    </w:lvl>
    <w:lvl w:ilvl="1" w:tplc="F1062316">
      <w:numFmt w:val="decimal"/>
      <w:lvlText w:val=""/>
      <w:lvlJc w:val="left"/>
    </w:lvl>
    <w:lvl w:ilvl="2" w:tplc="69F8C050">
      <w:numFmt w:val="decimal"/>
      <w:lvlText w:val=""/>
      <w:lvlJc w:val="left"/>
    </w:lvl>
    <w:lvl w:ilvl="3" w:tplc="4FB2F978">
      <w:numFmt w:val="decimal"/>
      <w:lvlText w:val=""/>
      <w:lvlJc w:val="left"/>
    </w:lvl>
    <w:lvl w:ilvl="4" w:tplc="01545390">
      <w:numFmt w:val="decimal"/>
      <w:lvlText w:val=""/>
      <w:lvlJc w:val="left"/>
    </w:lvl>
    <w:lvl w:ilvl="5" w:tplc="231E88D6">
      <w:numFmt w:val="decimal"/>
      <w:lvlText w:val=""/>
      <w:lvlJc w:val="left"/>
    </w:lvl>
    <w:lvl w:ilvl="6" w:tplc="DE02AE2A">
      <w:numFmt w:val="decimal"/>
      <w:lvlText w:val=""/>
      <w:lvlJc w:val="left"/>
    </w:lvl>
    <w:lvl w:ilvl="7" w:tplc="FBF8E61A">
      <w:numFmt w:val="decimal"/>
      <w:lvlText w:val=""/>
      <w:lvlJc w:val="left"/>
    </w:lvl>
    <w:lvl w:ilvl="8" w:tplc="1A16061E">
      <w:numFmt w:val="decimal"/>
      <w:lvlText w:val=""/>
      <w:lvlJc w:val="left"/>
    </w:lvl>
  </w:abstractNum>
  <w:abstractNum w:abstractNumId="2" w15:restartNumberingAfterBreak="0">
    <w:nsid w:val="5A291846"/>
    <w:multiLevelType w:val="hybridMultilevel"/>
    <w:tmpl w:val="D5F470FA"/>
    <w:lvl w:ilvl="0" w:tplc="B63A483A">
      <w:start w:val="1"/>
      <w:numFmt w:val="decimal"/>
      <w:lvlText w:val="%1."/>
      <w:lvlJc w:val="left"/>
      <w:pPr>
        <w:ind w:left="540" w:hanging="260"/>
      </w:pPr>
    </w:lvl>
    <w:lvl w:ilvl="1" w:tplc="35AEA948">
      <w:numFmt w:val="decimal"/>
      <w:lvlText w:val=""/>
      <w:lvlJc w:val="left"/>
    </w:lvl>
    <w:lvl w:ilvl="2" w:tplc="D7300EE2">
      <w:numFmt w:val="decimal"/>
      <w:lvlText w:val=""/>
      <w:lvlJc w:val="left"/>
    </w:lvl>
    <w:lvl w:ilvl="3" w:tplc="7824A2C6">
      <w:numFmt w:val="decimal"/>
      <w:lvlText w:val=""/>
      <w:lvlJc w:val="left"/>
    </w:lvl>
    <w:lvl w:ilvl="4" w:tplc="0E5C507E">
      <w:numFmt w:val="decimal"/>
      <w:lvlText w:val=""/>
      <w:lvlJc w:val="left"/>
    </w:lvl>
    <w:lvl w:ilvl="5" w:tplc="74683908">
      <w:numFmt w:val="decimal"/>
      <w:lvlText w:val=""/>
      <w:lvlJc w:val="left"/>
    </w:lvl>
    <w:lvl w:ilvl="6" w:tplc="73B681CC">
      <w:numFmt w:val="decimal"/>
      <w:lvlText w:val=""/>
      <w:lvlJc w:val="left"/>
    </w:lvl>
    <w:lvl w:ilvl="7" w:tplc="E18A0D44">
      <w:numFmt w:val="decimal"/>
      <w:lvlText w:val=""/>
      <w:lvlJc w:val="left"/>
    </w:lvl>
    <w:lvl w:ilvl="8" w:tplc="49C0B8F8">
      <w:numFmt w:val="decimal"/>
      <w:lvlText w:val=""/>
      <w:lvlJc w:val="left"/>
    </w:lvl>
  </w:abstractNum>
  <w:abstractNum w:abstractNumId="3" w15:restartNumberingAfterBreak="0">
    <w:nsid w:val="70AE1281"/>
    <w:multiLevelType w:val="hybridMultilevel"/>
    <w:tmpl w:val="1256BD70"/>
    <w:lvl w:ilvl="0" w:tplc="F594E47A">
      <w:start w:val="1"/>
      <w:numFmt w:val="bullet"/>
      <w:lvlText w:val="●"/>
      <w:lvlJc w:val="left"/>
      <w:pPr>
        <w:ind w:left="720" w:hanging="360"/>
      </w:pPr>
    </w:lvl>
    <w:lvl w:ilvl="1" w:tplc="D930B358">
      <w:start w:val="1"/>
      <w:numFmt w:val="bullet"/>
      <w:lvlText w:val="○"/>
      <w:lvlJc w:val="left"/>
      <w:pPr>
        <w:ind w:left="1440" w:hanging="360"/>
      </w:pPr>
    </w:lvl>
    <w:lvl w:ilvl="2" w:tplc="BB6A856A">
      <w:start w:val="1"/>
      <w:numFmt w:val="bullet"/>
      <w:lvlText w:val="■"/>
      <w:lvlJc w:val="left"/>
      <w:pPr>
        <w:ind w:left="2160" w:hanging="360"/>
      </w:pPr>
    </w:lvl>
    <w:lvl w:ilvl="3" w:tplc="B6741A7A">
      <w:start w:val="1"/>
      <w:numFmt w:val="bullet"/>
      <w:lvlText w:val="●"/>
      <w:lvlJc w:val="left"/>
      <w:pPr>
        <w:ind w:left="2880" w:hanging="360"/>
      </w:pPr>
    </w:lvl>
    <w:lvl w:ilvl="4" w:tplc="2782143C">
      <w:start w:val="1"/>
      <w:numFmt w:val="bullet"/>
      <w:lvlText w:val="○"/>
      <w:lvlJc w:val="left"/>
      <w:pPr>
        <w:ind w:left="3600" w:hanging="360"/>
      </w:pPr>
    </w:lvl>
    <w:lvl w:ilvl="5" w:tplc="93AE1AFA">
      <w:start w:val="1"/>
      <w:numFmt w:val="bullet"/>
      <w:lvlText w:val="■"/>
      <w:lvlJc w:val="left"/>
      <w:pPr>
        <w:ind w:left="4320" w:hanging="360"/>
      </w:pPr>
    </w:lvl>
    <w:lvl w:ilvl="6" w:tplc="37C8498E">
      <w:start w:val="1"/>
      <w:numFmt w:val="bullet"/>
      <w:lvlText w:val="●"/>
      <w:lvlJc w:val="left"/>
      <w:pPr>
        <w:ind w:left="5040" w:hanging="360"/>
      </w:pPr>
    </w:lvl>
    <w:lvl w:ilvl="7" w:tplc="64EAD2E4">
      <w:start w:val="1"/>
      <w:numFmt w:val="bullet"/>
      <w:lvlText w:val="●"/>
      <w:lvlJc w:val="left"/>
      <w:pPr>
        <w:ind w:left="5760" w:hanging="360"/>
      </w:pPr>
    </w:lvl>
    <w:lvl w:ilvl="8" w:tplc="2AF4558E">
      <w:start w:val="1"/>
      <w:numFmt w:val="bullet"/>
      <w:lvlText w:val="●"/>
      <w:lvlJc w:val="left"/>
      <w:pPr>
        <w:ind w:left="6480" w:hanging="360"/>
      </w:pPr>
    </w:lvl>
  </w:abstractNum>
  <w:num w:numId="1" w16cid:durableId="1176845106">
    <w:abstractNumId w:val="3"/>
    <w:lvlOverride w:ilvl="0">
      <w:startOverride w:val="1"/>
    </w:lvlOverride>
  </w:num>
  <w:num w:numId="2" w16cid:durableId="347102633">
    <w:abstractNumId w:val="0"/>
    <w:lvlOverride w:ilvl="0">
      <w:startOverride w:val="1"/>
    </w:lvlOverride>
  </w:num>
  <w:num w:numId="3" w16cid:durableId="659163068">
    <w:abstractNumId w:val="2"/>
    <w:lvlOverride w:ilvl="0">
      <w:startOverride w:val="1"/>
    </w:lvlOverride>
  </w:num>
  <w:num w:numId="4" w16cid:durableId="124823073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7EC3"/>
    <w:rsid w:val="0009565A"/>
    <w:rsid w:val="00107C1C"/>
    <w:rsid w:val="00927BFA"/>
    <w:rsid w:val="00A37E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280E4"/>
  <w15:docId w15:val="{6DBF2B32-A910-4911-A1E9-DC640F3F6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2E4638"/>
      <w:sz w:val="30"/>
      <w:szCs w:val="30"/>
    </w:rPr>
  </w:style>
  <w:style w:type="paragraph" w:styleId="Heading2">
    <w:name w:val="heading 2"/>
    <w:uiPriority w:val="9"/>
    <w:unhideWhenUsed/>
    <w:qFormat/>
    <w:pPr>
      <w:spacing w:before="220" w:after="100"/>
      <w:outlineLvl w:val="1"/>
    </w:pPr>
    <w:rPr>
      <w:b/>
      <w:bCs/>
      <w:color w:val="222222"/>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66B84B4E56EAA47BADF7CF2260E51AB" ma:contentTypeVersion="11" ma:contentTypeDescription="Create a new document." ma:contentTypeScope="" ma:versionID="b951f05e2817249b30534f7b77461afb">
  <xsd:schema xmlns:xsd="http://www.w3.org/2001/XMLSchema" xmlns:xs="http://www.w3.org/2001/XMLSchema" xmlns:p="http://schemas.microsoft.com/office/2006/metadata/properties" xmlns:ns2="889e5c6e-7da0-48be-8686-f23ad8bbc11a" xmlns:ns3="80a082e1-dac6-407d-be85-e2b809184103" targetNamespace="http://schemas.microsoft.com/office/2006/metadata/properties" ma:root="true" ma:fieldsID="5660329253eef47a17b7785712e97b97" ns2:_="" ns3:_="">
    <xsd:import namespace="889e5c6e-7da0-48be-8686-f23ad8bbc11a"/>
    <xsd:import namespace="80a082e1-dac6-407d-be85-e2b80918410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9e5c6e-7da0-48be-8686-f23ad8bbc1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fb7c818-456c-419a-b825-5c48b45a819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descriptio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0a082e1-dac6-407d-be85-e2b80918410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27b5ba6-dbec-402b-934f-05382d1e563e}" ma:internalName="TaxCatchAll" ma:showField="CatchAllData" ma:web="80a082e1-dac6-407d-be85-e2b80918410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89e5c6e-7da0-48be-8686-f23ad8bbc11a">
      <Terms xmlns="http://schemas.microsoft.com/office/infopath/2007/PartnerControls"/>
    </lcf76f155ced4ddcb4097134ff3c332f>
    <TaxCatchAll xmlns="80a082e1-dac6-407d-be85-e2b809184103" xsi:nil="true"/>
  </documentManagement>
</p:properties>
</file>

<file path=customXml/itemProps1.xml><?xml version="1.0" encoding="utf-8"?>
<ds:datastoreItem xmlns:ds="http://schemas.openxmlformats.org/officeDocument/2006/customXml" ds:itemID="{E13F66DF-AACA-4164-9034-D366203D1B05}"/>
</file>

<file path=customXml/itemProps2.xml><?xml version="1.0" encoding="utf-8"?>
<ds:datastoreItem xmlns:ds="http://schemas.openxmlformats.org/officeDocument/2006/customXml" ds:itemID="{D40137C7-255E-4360-93A1-609539AA98EF}"/>
</file>

<file path=customXml/itemProps3.xml><?xml version="1.0" encoding="utf-8"?>
<ds:datastoreItem xmlns:ds="http://schemas.openxmlformats.org/officeDocument/2006/customXml" ds:itemID="{1A1C4CAA-9E5B-4B82-B479-7DA8EAA00DCA}"/>
</file>

<file path=docProps/app.xml><?xml version="1.0" encoding="utf-8"?>
<Properties xmlns="http://schemas.openxmlformats.org/officeDocument/2006/extended-properties" xmlns:vt="http://schemas.openxmlformats.org/officeDocument/2006/docPropsVTypes">
  <Template>Normal.dotm</Template>
  <TotalTime>0</TotalTime>
  <Pages>8</Pages>
  <Words>2927</Words>
  <Characters>16686</Characters>
  <Application>Microsoft Office Word</Application>
  <DocSecurity>0</DocSecurity>
  <Lines>139</Lines>
  <Paragraphs>39</Paragraphs>
  <ScaleCrop>false</ScaleCrop>
  <Company/>
  <LinksUpToDate>false</LinksUpToDate>
  <CharactersWithSpaces>19574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Rasmus Rasmusson</cp:lastModifiedBy>
  <cp:revision>2</cp:revision>
  <dcterms:created xsi:type="dcterms:W3CDTF">2026-06-03T16:06:00Z</dcterms:created>
  <dcterms:modified xsi:type="dcterms:W3CDTF">2026-06-03T16:06:00Z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0x010100766B84B4E56EAA47BADF7CF2260E51AB</vt:lpwstr>
  </property>
</Properties>
</file>