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E2B0" w14:textId="77777777" w:rsidR="00E0484D" w:rsidRDefault="0086497C">
      <w:pPr>
        <w:spacing w:after="60"/>
      </w:pPr>
      <w:r>
        <w:rPr>
          <w:b/>
          <w:bCs/>
          <w:color w:val="2E4638"/>
          <w:sz w:val="40"/>
          <w:szCs w:val="40"/>
        </w:rPr>
        <w:t>Soupdog — Plan Architecture</w:t>
      </w:r>
    </w:p>
    <w:p w14:paraId="762B7D22" w14:textId="77777777" w:rsidR="00E0484D" w:rsidRDefault="0086497C">
      <w:pPr>
        <w:spacing w:after="40"/>
      </w:pPr>
      <w:r>
        <w:rPr>
          <w:color w:val="6B6860"/>
          <w:sz w:val="28"/>
          <w:szCs w:val="28"/>
        </w:rPr>
        <w:t>Groups &amp; Schedule Types</w:t>
      </w:r>
    </w:p>
    <w:p w14:paraId="7D6C83A6" w14:textId="77777777" w:rsidR="00E0484D" w:rsidRDefault="0086497C">
      <w:pPr>
        <w:spacing w:after="240"/>
      </w:pPr>
      <w:r>
        <w:rPr>
          <w:i/>
          <w:iCs/>
          <w:color w:val="6B6860"/>
          <w:sz w:val="18"/>
          <w:szCs w:val="18"/>
        </w:rPr>
        <w:t>Design note · v0.1 · June 2026</w:t>
      </w:r>
    </w:p>
    <w:p w14:paraId="470372B6" w14:textId="77777777" w:rsidR="00E0484D" w:rsidRDefault="0086497C">
      <w:pPr>
        <w:spacing w:after="120"/>
      </w:pPr>
      <w:r>
        <w:rPr>
          <w:i/>
          <w:iCs/>
          <w:color w:val="6B6860"/>
        </w:rPr>
        <w:t>This note captures the conceptual architecture for how Soupdog meal plans generalise from a single home cook to commercial contexts (canteens, airlines, restaurants, care services, clinical use). It is a design reference, not an implementation plan. The guiding discipline: do not build the general abstraction prematurely, but name and structure near-term work so the generalisation is never precluded — the same approach that produced the person / person_access spine.</w:t>
      </w:r>
    </w:p>
    <w:p w14:paraId="6A54903F" w14:textId="77777777" w:rsidR="00E0484D" w:rsidRDefault="0086497C">
      <w:pPr>
        <w:pStyle w:val="Heading1"/>
      </w:pPr>
      <w:r>
        <w:t>1. The core reframe</w:t>
      </w:r>
    </w:p>
    <w:p w14:paraId="492EC2D0" w14:textId="77777777" w:rsidR="00E0484D" w:rsidRDefault="0086497C">
      <w:pPr>
        <w:spacing w:after="120"/>
      </w:pPr>
      <w:r>
        <w:t>The consumer meal plan we built is organised by (person × date × time-of-day). That is one configuration, not the only one. The general question for any food context is: what are the axes along which food is planned, and what is the unit of planning?</w:t>
      </w:r>
    </w:p>
    <w:p w14:paraId="21F47E0E" w14:textId="77777777" w:rsidR="00E0484D" w:rsidRDefault="0086497C">
      <w:pPr>
        <w:spacing w:after="120"/>
      </w:pPr>
      <w:r>
        <w:t>Two findings shape everything below: there are always two layers (an OFFERING and a PLAN/ORDER); and the organising axes are a small, recombinable set. Different users — home or commercial — are different selections and configurations of those axes.</w:t>
      </w:r>
    </w:p>
    <w:p w14:paraId="3B94A66B" w14:textId="77777777" w:rsidR="00E0484D" w:rsidRDefault="0086497C">
      <w:pPr>
        <w:pStyle w:val="Heading2"/>
      </w:pPr>
      <w:r>
        <w:t>1.1 Two layers: Offering vs Plan</w:t>
      </w:r>
    </w:p>
    <w:p w14:paraId="50C12DB6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Offering</w:t>
      </w:r>
      <w:r>
        <w:t xml:space="preserve"> = the menu: the set of dishes/meals a context can serve. A restaurant's menu, a canteen's rotation, an airline's catering spec, a home cook's recipe library. In Soupdog this is the existing recipe / dish / ingredient graph.</w:t>
      </w:r>
    </w:p>
    <w:p w14:paraId="1E038CF7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Plan / Order</w:t>
      </w:r>
      <w:r>
        <w:t xml:space="preserve"> = what is actually assigned to whom and when. This is the meal-planning layer.</w:t>
      </w:r>
    </w:p>
    <w:p w14:paraId="09439E26" w14:textId="77777777" w:rsidR="00E0484D" w:rsidRDefault="0086497C">
      <w:pPr>
        <w:spacing w:after="120"/>
      </w:pPr>
      <w:r>
        <w:rPr>
          <w:color w:val="6B6860"/>
        </w:rPr>
        <w:t>Home cooking blurs these (your library is effectively your offering). Commercial contexts separate them cleanly. The platform already has this separation in its bones — the recipe graph is the offering; meal planning is the plan layer.</w:t>
      </w:r>
    </w:p>
    <w:p w14:paraId="0216D70C" w14:textId="77777777" w:rsidR="00E0484D" w:rsidRDefault="0086497C">
      <w:pPr>
        <w:pStyle w:val="Heading2"/>
      </w:pPr>
      <w:r>
        <w:t>1.2 The recombinable axes</w:t>
      </w:r>
    </w:p>
    <w:p w14:paraId="4144A686" w14:textId="77777777" w:rsidR="00E0484D" w:rsidRDefault="0086497C">
      <w:pPr>
        <w:spacing w:after="120"/>
      </w:pPr>
      <w:r>
        <w:t>Across every context observed, the organising dimensions are drawn from this small set:</w:t>
      </w:r>
    </w:p>
    <w:p w14:paraId="01B5413F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Who</w:t>
      </w:r>
      <w:r>
        <w:t xml:space="preserve"> — person / cover / seat / room / client</w:t>
      </w:r>
    </w:p>
    <w:p w14:paraId="2194BAD9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Grouping</w:t>
      </w:r>
      <w:r>
        <w:t xml:space="preserve"> — household / table / flight cabin / delivery route / canteen population</w:t>
      </w:r>
    </w:p>
    <w:p w14:paraId="61D0C9B5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When</w:t>
      </w:r>
      <w:r>
        <w:t xml:space="preserve"> — clock time / service period / course sequence / flight phase / on-demand</w:t>
      </w:r>
    </w:p>
    <w:p w14:paraId="21D72269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What</w:t>
      </w:r>
      <w:r>
        <w:t xml:space="preserve"> — dish / meal / menu-line / tray / order (a unit, increasingly composed of multiple components)</w:t>
      </w:r>
    </w:p>
    <w:p w14:paraId="554FE112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How much</w:t>
      </w:r>
      <w:r>
        <w:t xml:space="preserve"> — 1 / covers / loading counts / batch volume</w:t>
      </w:r>
    </w:p>
    <w:p w14:paraId="747A61F4" w14:textId="77777777" w:rsidR="00E0484D" w:rsidRDefault="0086497C">
      <w:pPr>
        <w:spacing w:after="120"/>
      </w:pPr>
      <w:r>
        <w:rPr>
          <w:color w:val="6B6860"/>
        </w:rPr>
        <w:t>Every context is a selection of these. Home = person + clock-time + meal. Restaurant = table + course-sequence + cover + order. Canteen = population + service-period + line + volume.</w:t>
      </w:r>
    </w:p>
    <w:p w14:paraId="160CB57E" w14:textId="77777777" w:rsidR="00E0484D" w:rsidRDefault="0086497C">
      <w:pPr>
        <w:pStyle w:val="Heading1"/>
      </w:pPr>
      <w:r>
        <w:t>2. The two generalisations</w:t>
      </w:r>
    </w:p>
    <w:p w14:paraId="009B7353" w14:textId="77777777" w:rsidR="00E0484D" w:rsidRDefault="0086497C">
      <w:pPr>
        <w:pStyle w:val="Heading2"/>
      </w:pPr>
      <w:r>
        <w:t>2.1 Group — generalises the unit of planning</w:t>
      </w:r>
    </w:p>
    <w:p w14:paraId="66A3F4BE" w14:textId="77777777" w:rsidR="00E0484D" w:rsidRDefault="0086497C">
      <w:pPr>
        <w:spacing w:after="120"/>
      </w:pPr>
      <w:r>
        <w:t>A GROUP is the set of eaters a plan serves. A household is one kind of group. So is a restaurant table, a flight cabin, a care route, or a nutritionist's single client. Some groups are persistent (household, client); some are ephemeral (a table tonight, a flight). This directly extends the existing person / person_access spine: a household today is simply 'the people you own'; promoting 'group' to a first-class concept makes the same machinery serve commercial contexts.</w:t>
      </w:r>
    </w:p>
    <w:p w14:paraId="3AF102B4" w14:textId="77777777" w:rsidR="00E0484D" w:rsidRDefault="0086497C">
      <w:pPr>
        <w:pStyle w:val="Heading2"/>
      </w:pPr>
      <w:r>
        <w:lastRenderedPageBreak/>
        <w:t>2.2 Schedule type — generalises the when</w:t>
      </w:r>
    </w:p>
    <w:p w14:paraId="4B0184FD" w14:textId="77777777" w:rsidR="00E0484D" w:rsidRDefault="0086497C">
      <w:pPr>
        <w:spacing w:after="120"/>
      </w:pPr>
      <w:r>
        <w:t>The time model we built (meals across days, ordered by clock time) is one SCHEDULE TYPE, not the only one. Siblings:</w:t>
      </w:r>
    </w:p>
    <w:p w14:paraId="1457B056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Calendar</w:t>
      </w:r>
      <w:r>
        <w:t xml:space="preserve"> — days × meals, clock-time ordered (home, nutritionist, elderly care)</w:t>
      </w:r>
    </w:p>
    <w:p w14:paraId="03147F3B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Service</w:t>
      </w:r>
      <w:r>
        <w:t xml:space="preserve"> — date × service period × menu line (canteens)</w:t>
      </w:r>
    </w:p>
    <w:p w14:paraId="44619F73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Sitting / course</w:t>
      </w:r>
      <w:r>
        <w:t xml:space="preserve"> — table × course sequence, fire timing (restaurants)</w:t>
      </w:r>
    </w:p>
    <w:p w14:paraId="702ECE47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Journey</w:t>
      </w:r>
      <w:r>
        <w:t xml:space="preserve"> — flight × phase, flight-relative timing (airlines)</w:t>
      </w:r>
    </w:p>
    <w:p w14:paraId="4EAC5FEB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On-demand</w:t>
      </w:r>
      <w:r>
        <w:t xml:space="preserve"> — orders with no forward horizon (room service, fast food)</w:t>
      </w:r>
    </w:p>
    <w:p w14:paraId="45E8AA64" w14:textId="77777777" w:rsidR="00E0484D" w:rsidRDefault="0086497C">
      <w:pPr>
        <w:spacing w:after="120"/>
      </w:pPr>
      <w:r>
        <w:rPr>
          <w:color w:val="6B6860"/>
        </w:rPr>
        <w:t>The honest architectural picture: a plan = (a group) × (a schedule type) × (a set of meal/order units, each composed of dishes/components) drawn from (an offering), with optional (targets) and (volumes). Home cooking is the simplest instantiation; everything else turns dimensions on.</w:t>
      </w:r>
    </w:p>
    <w:p w14:paraId="09DD8703" w14:textId="77777777" w:rsidR="00E0484D" w:rsidRDefault="0086497C">
      <w:pPr>
        <w:pStyle w:val="Heading1"/>
      </w:pPr>
      <w:r>
        <w:t>3. Per-vertical analysis</w:t>
      </w:r>
    </w:p>
    <w:p w14:paraId="129138E9" w14:textId="77777777" w:rsidR="00E0484D" w:rsidRDefault="0086497C">
      <w:pPr>
        <w:spacing w:after="120"/>
      </w:pPr>
      <w:r>
        <w:t>Each row: the axes that organise the plan, and what the interface is fundamentally doing.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4260"/>
      </w:tblGrid>
      <w:tr w:rsidR="00E0484D" w14:paraId="50018F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0CAC" w14:textId="77777777" w:rsidR="00E0484D" w:rsidRDefault="0086497C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0E02" w14:textId="77777777" w:rsidR="00E0484D" w:rsidRDefault="0086497C">
            <w:r>
              <w:rPr>
                <w:b/>
                <w:bCs/>
                <w:color w:val="FFFFFF"/>
                <w:sz w:val="18"/>
                <w:szCs w:val="18"/>
              </w:rPr>
              <w:t>Organising axes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2E46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2F4F" w14:textId="77777777" w:rsidR="00E0484D" w:rsidRDefault="0086497C">
            <w:r>
              <w:rPr>
                <w:b/>
                <w:bCs/>
                <w:color w:val="FFFFFF"/>
                <w:sz w:val="18"/>
                <w:szCs w:val="18"/>
              </w:rPr>
              <w:t>Unit &amp; notes</w:t>
            </w:r>
          </w:p>
        </w:tc>
      </w:tr>
      <w:tr w:rsidR="00E0484D" w14:paraId="4590E7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F112" w14:textId="77777777" w:rsidR="00E0484D" w:rsidRDefault="0086497C">
            <w:pPr>
              <w:spacing w:after="20"/>
            </w:pPr>
            <w:r>
              <w:t>Home cook</w:t>
            </w:r>
          </w:p>
          <w:p w14:paraId="5E8D3E8A" w14:textId="77777777" w:rsidR="00E0484D" w:rsidRDefault="0086497C">
            <w:pPr>
              <w:spacing w:after="20"/>
            </w:pPr>
            <w:r>
              <w:t>(built)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52FC3" w14:textId="77777777" w:rsidR="00E0484D" w:rsidRDefault="0086497C">
            <w:pPr>
              <w:spacing w:after="20"/>
            </w:pPr>
            <w:r>
              <w:t>person × date × time-of-day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640CE" w14:textId="77777777" w:rsidR="00E0484D" w:rsidRDefault="0086497C">
            <w:pPr>
              <w:spacing w:after="20"/>
            </w:pPr>
            <w:r>
              <w:t>Meal (soon: composed of dishes). Rolling-day horizon. Time = when to start cooking. Few eaters, each with a plan.</w:t>
            </w:r>
          </w:p>
        </w:tc>
      </w:tr>
      <w:tr w:rsidR="00E0484D" w14:paraId="54D812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34C8" w14:textId="77777777" w:rsidR="00E0484D" w:rsidRDefault="0086497C">
            <w:pPr>
              <w:spacing w:after="20"/>
            </w:pPr>
            <w:r>
              <w:t>School / factory canteen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BB4B" w14:textId="77777777" w:rsidR="00E0484D" w:rsidRDefault="0086497C">
            <w:pPr>
              <w:spacing w:after="20"/>
            </w:pPr>
            <w:r>
              <w:t>date × service period × menu line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EF89" w14:textId="77777777" w:rsidR="00E0484D" w:rsidRDefault="0086497C">
            <w:pPr>
              <w:spacing w:after="20"/>
            </w:pPr>
            <w:r>
              <w:t>Plan offerings, not individuals. A day has a service window with several lines (main, veg, halal, salad). Unit = a menu; batch volumes + covers forecast. Per-person disappears; dietary coverage appears.</w:t>
            </w:r>
          </w:p>
        </w:tc>
      </w:tr>
      <w:tr w:rsidR="00E0484D" w14:paraId="1F80A7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1110" w14:textId="77777777" w:rsidR="00E0484D" w:rsidRDefault="0086497C">
            <w:pPr>
              <w:spacing w:after="20"/>
            </w:pPr>
            <w:r>
              <w:t>Airline</w:t>
            </w:r>
          </w:p>
          <w:p w14:paraId="4DF15400" w14:textId="77777777" w:rsidR="00E0484D" w:rsidRDefault="0086497C">
            <w:pPr>
              <w:spacing w:after="20"/>
            </w:pPr>
            <w:r>
              <w:t>(Airbus cabin)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5EE4" w14:textId="77777777" w:rsidR="00E0484D" w:rsidRDefault="0086497C">
            <w:pPr>
              <w:spacing w:after="20"/>
            </w:pPr>
            <w:r>
              <w:t>flight × cabin class × service sequence × seat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51F5A" w14:textId="77777777" w:rsidR="00E0484D" w:rsidRDefault="0086497C">
            <w:pPr>
              <w:spacing w:after="20"/>
            </w:pPr>
            <w:r>
              <w:t>Pre-composed trays, fixed loading counts, served in a flight-phase sequence. Per-passenger re-enters as special-meal-by-seat exceptions. Hybrid: base offering by class + per-seat overrides. Time is flight-relative.</w:t>
            </w:r>
          </w:p>
        </w:tc>
      </w:tr>
      <w:tr w:rsidR="00E0484D" w14:paraId="275292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D6A6" w14:textId="77777777" w:rsidR="00E0484D" w:rsidRDefault="0086497C">
            <w:pPr>
              <w:spacing w:after="20"/>
            </w:pPr>
            <w:r>
              <w:t>Hotel room service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5A52" w14:textId="77777777" w:rsidR="00E0484D" w:rsidRDefault="0086497C">
            <w:pPr>
              <w:spacing w:after="20"/>
            </w:pPr>
            <w:r>
              <w:t>room × order × time-of-order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E896" w14:textId="77777777" w:rsidR="00E0484D" w:rsidRDefault="0086497C">
            <w:pPr>
              <w:spacing w:after="20"/>
            </w:pPr>
            <w:r>
              <w:t>Essentially on-demand, not planned — closer to a restaurant order. The room/stay is a thin persistent group (guest prefs across the stay).</w:t>
            </w:r>
          </w:p>
        </w:tc>
      </w:tr>
      <w:tr w:rsidR="00E0484D" w14:paraId="39DD16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CBA0" w14:textId="77777777" w:rsidR="00E0484D" w:rsidRDefault="0086497C">
            <w:pPr>
              <w:spacing w:after="20"/>
            </w:pPr>
            <w:r>
              <w:t>High-end restaurant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730C" w14:textId="77777777" w:rsidR="00E0484D" w:rsidRDefault="0086497C">
            <w:pPr>
              <w:spacing w:after="20"/>
            </w:pPr>
            <w:r>
              <w:t>service × table × cover × course sequence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567F" w14:textId="77777777" w:rsidR="00E0484D" w:rsidRDefault="0086497C">
            <w:pPr>
              <w:spacing w:after="20"/>
            </w:pPr>
            <w:r>
              <w:t>The table is the group. An order = a set of dishes by course (apps → mains → dessert) with fire timing. Per-cover within a table. Standing menu behind it (the offering).</w:t>
            </w:r>
          </w:p>
        </w:tc>
      </w:tr>
      <w:tr w:rsidR="00E0484D" w14:paraId="719030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9C0B" w14:textId="77777777" w:rsidR="00E0484D" w:rsidRDefault="0086497C">
            <w:pPr>
              <w:spacing w:after="20"/>
            </w:pPr>
            <w:r>
              <w:t>Fast food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4829" w14:textId="77777777" w:rsidR="00E0484D" w:rsidRDefault="0086497C">
            <w:pPr>
              <w:spacing w:after="20"/>
            </w:pPr>
            <w:r>
              <w:t>order × item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119B" w14:textId="77777777" w:rsidR="00E0484D" w:rsidRDefault="0086497C">
            <w:pPr>
              <w:spacing w:after="20"/>
            </w:pPr>
            <w:r>
              <w:t>Barely a plan; a transaction. Flat set of items, served fast. The interesting layer is the menu + throughput, not per-order planning.</w:t>
            </w:r>
          </w:p>
        </w:tc>
      </w:tr>
      <w:tr w:rsidR="00E0484D" w14:paraId="4FCC35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1D51" w14:textId="77777777" w:rsidR="00E0484D" w:rsidRDefault="0086497C">
            <w:pPr>
              <w:spacing w:after="20"/>
            </w:pPr>
            <w:r>
              <w:t>Nutritionist</w:t>
            </w:r>
          </w:p>
          <w:p w14:paraId="4A34842B" w14:textId="77777777" w:rsidR="00E0484D" w:rsidRDefault="0086497C">
            <w:pPr>
              <w:spacing w:after="20"/>
            </w:pPr>
            <w:r>
              <w:lastRenderedPageBreak/>
              <w:t>(many clients)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33FF" w14:textId="77777777" w:rsidR="00E0484D" w:rsidRDefault="0086497C">
            <w:pPr>
              <w:spacing w:after="20"/>
            </w:pPr>
            <w:r>
              <w:lastRenderedPageBreak/>
              <w:t>client × date × meal × nutritional target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9753" w14:textId="77777777" w:rsidR="00E0484D" w:rsidRDefault="0086497C">
            <w:pPr>
              <w:spacing w:after="20"/>
            </w:pPr>
            <w:r>
              <w:t xml:space="preserve">Almost exactly the consumer model, but (a) multiplied across a managed roster, </w:t>
            </w:r>
            <w:r>
              <w:lastRenderedPageBreak/>
              <w:t>and (b) with goals/targets as a first-class overlay the plan must satisfy and report against. Cleanest extension of what exists.</w:t>
            </w:r>
          </w:p>
        </w:tc>
      </w:tr>
      <w:tr w:rsidR="00E0484D" w14:paraId="75F743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B9E1" w14:textId="77777777" w:rsidR="00E0484D" w:rsidRDefault="0086497C">
            <w:pPr>
              <w:spacing w:after="20"/>
            </w:pPr>
            <w:r>
              <w:lastRenderedPageBreak/>
              <w:t>Elderly home care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E094" w14:textId="77777777" w:rsidR="00E0484D" w:rsidRDefault="0086497C">
            <w:pPr>
              <w:spacing w:after="20"/>
            </w:pPr>
            <w:r>
              <w:t>client × date × meal × delivery route</w:t>
            </w:r>
          </w:p>
        </w:tc>
        <w:tc>
          <w:tcPr>
            <w:tcW w:w="42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6091" w14:textId="77777777" w:rsidR="00E0484D" w:rsidRDefault="0086497C">
            <w:pPr>
              <w:spacing w:after="20"/>
            </w:pPr>
            <w:r>
              <w:t>Per-person, constraint-heavy (medical/dietary), plus a production + logistics layer: central kitchen → portioning → delivery routes. Per-person planning feeds batch production feeds delivery scheduling.</w:t>
            </w:r>
          </w:p>
        </w:tc>
      </w:tr>
    </w:tbl>
    <w:p w14:paraId="29D772DA" w14:textId="77777777" w:rsidR="00E0484D" w:rsidRDefault="0086497C">
      <w:pPr>
        <w:pStyle w:val="Heading1"/>
      </w:pPr>
      <w:r>
        <w:t>4. What this means for building</w:t>
      </w:r>
    </w:p>
    <w:p w14:paraId="495DE6A4" w14:textId="77777777" w:rsidR="00E0484D" w:rsidRDefault="0086497C">
      <w:pPr>
        <w:spacing w:after="120"/>
      </w:pPr>
      <w:r>
        <w:t>This generalisation is powerful but must not be built ahead of validated need. The disciplined moves:</w:t>
      </w:r>
    </w:p>
    <w:p w14:paraId="32660C6D" w14:textId="77777777" w:rsidR="00E0484D" w:rsidRDefault="0086497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Do not build the abstraction yet.</w:t>
      </w:r>
      <w:r>
        <w:t xml:space="preserve"> Build the consumer feature well first.</w:t>
      </w:r>
    </w:p>
    <w:p w14:paraId="0FF78C30" w14:textId="77777777" w:rsidR="00E0484D" w:rsidRDefault="0086497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Name and structure so the generalisation is not precluded.</w:t>
      </w:r>
      <w:r>
        <w:t xml:space="preserve"> A plan belongs to a person OR eventually a group; a meal is a set of components (not hard-coded 'one dish'). Put the seams in the right places now — the same discipline used for person / person_access.</w:t>
      </w:r>
    </w:p>
    <w:p w14:paraId="26C9D811" w14:textId="77777777" w:rsidR="00E0484D" w:rsidRDefault="0086497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Treat each commercial vertical as a future schedule-type + interface plugin</w:t>
      </w:r>
      <w:r>
        <w:t>, not a rewrite. The shared core (offering graph, groups, components, constraints, targets, volumes) stays; each vertical adds its organising dimension and a specialised view.</w:t>
      </w:r>
    </w:p>
    <w:p w14:paraId="2872DAB8" w14:textId="77777777" w:rsidR="00E0484D" w:rsidRDefault="0086497C">
      <w:pPr>
        <w:spacing w:after="120"/>
      </w:pPr>
      <w:r>
        <w:rPr>
          <w:color w:val="6B6860"/>
        </w:rPr>
        <w:t>This maps directly onto the platform spec's Layer 3 (B2B) vision — it articulates how the consumer model extends into the commercial layer that the spec gestured at but did not detail.</w:t>
      </w:r>
    </w:p>
    <w:p w14:paraId="593D96D0" w14:textId="77777777" w:rsidR="00E0484D" w:rsidRDefault="0086497C">
      <w:pPr>
        <w:pStyle w:val="Heading1"/>
      </w:pPr>
      <w:r>
        <w:t>5. Near-term implications (consumer)</w:t>
      </w:r>
    </w:p>
    <w:p w14:paraId="2ACF9ED4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Meals = composed dishes/components</w:t>
      </w:r>
      <w:r>
        <w:t xml:space="preserve"> (drinks, sides) is the next major model evolution — design the 'components' shape generally (a meal holds a set of components, each optionally a recipe; type = dish / drink / side) so it serves both home and commercial later.</w:t>
      </w:r>
    </w:p>
    <w:p w14:paraId="7A0CE8C1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Meal editor</w:t>
      </w:r>
      <w:r>
        <w:t>, not just AI auto-compose — let users design meals (like the dish editor today), with automation as an assist, not the only path.</w:t>
      </w:r>
    </w:p>
    <w:p w14:paraId="5C4A27BA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Plan switcher</w:t>
      </w:r>
      <w:r>
        <w:t xml:space="preserve"> (manage others' plans — kids, dog, eventually clients) is the consumer-scale stepping stone to groups. Model 'whose plan am I viewing' cleanly and 'which group's plan' is the same selector later.</w:t>
      </w:r>
    </w:p>
    <w:p w14:paraId="23E2EEE7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Targets overlay</w:t>
      </w:r>
      <w:r>
        <w:t xml:space="preserve"> (nutrition goals/compliance) is what turns the consumer plan into the nutritionist tool — design nutrition as a plan-level overlay, not a home-only feature.</w:t>
      </w:r>
    </w:p>
    <w:p w14:paraId="53F3CFB6" w14:textId="77777777" w:rsidR="00E0484D" w:rsidRDefault="0086497C">
      <w:pPr>
        <w:pStyle w:val="Heading1"/>
      </w:pPr>
      <w:r>
        <w:t>6. Open questions to settle before the group/B2B pass</w:t>
      </w:r>
    </w:p>
    <w:p w14:paraId="4B745102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t>Is 'group' one table with a type field, or distinct entities per vertical? (Lean: one 'group' concept + type, mirroring person/access.)</w:t>
      </w:r>
    </w:p>
    <w:p w14:paraId="4854960A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t xml:space="preserve">How do schedule types coexist — one pluggable 'plan structure' per group, or per-plan? </w:t>
      </w:r>
    </w:p>
    <w:p w14:paraId="700CCF14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t>Where do volumes/forecasting live (commercial) vs the single-portion consumer case?</w:t>
      </w:r>
    </w:p>
    <w:p w14:paraId="36711D1D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t>Do ephemeral groups (a table, a flight) and persistent ones (household, client) share one model with a lifecycle flag?</w:t>
      </w:r>
    </w:p>
    <w:p w14:paraId="2C76BC46" w14:textId="77777777" w:rsidR="00E0484D" w:rsidRDefault="0086497C">
      <w:pPr>
        <w:pStyle w:val="ListParagraph"/>
        <w:numPr>
          <w:ilvl w:val="0"/>
          <w:numId w:val="2"/>
        </w:numPr>
        <w:spacing w:after="60"/>
      </w:pPr>
      <w:r>
        <w:t>Cross-residency / data-residency implications when commercial clients hold many people's data (ties to the existing personal-vs-shared seam).</w:t>
      </w:r>
    </w:p>
    <w:sectPr w:rsidR="00E0484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9FF6B" w14:textId="77777777" w:rsidR="0086497C" w:rsidRDefault="0086497C">
      <w:r>
        <w:separator/>
      </w:r>
    </w:p>
  </w:endnote>
  <w:endnote w:type="continuationSeparator" w:id="0">
    <w:p w14:paraId="692A49B1" w14:textId="77777777" w:rsidR="0086497C" w:rsidRDefault="0086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7170" w14:textId="77777777" w:rsidR="00E0484D" w:rsidRDefault="0086497C">
    <w:pPr>
      <w:jc w:val="center"/>
    </w:pPr>
    <w:r>
      <w:rPr>
        <w:color w:val="6B6860"/>
        <w:sz w:val="16"/>
        <w:szCs w:val="16"/>
      </w:rPr>
      <w:t xml:space="preserve">Soupdog — Plan Architecture · </w:t>
    </w:r>
    <w:r>
      <w:rPr>
        <w:color w:val="6B6860"/>
        <w:sz w:val="16"/>
        <w:szCs w:val="16"/>
      </w:rPr>
      <w:fldChar w:fldCharType="begin"/>
    </w:r>
    <w:r>
      <w:rPr>
        <w:color w:val="6B6860"/>
        <w:sz w:val="16"/>
        <w:szCs w:val="16"/>
      </w:rPr>
      <w:instrText>PAGE</w:instrText>
    </w:r>
    <w:r>
      <w:rPr>
        <w:color w:val="6B6860"/>
        <w:sz w:val="16"/>
        <w:szCs w:val="16"/>
      </w:rPr>
      <w:fldChar w:fldCharType="separate"/>
    </w:r>
    <w:r w:rsidR="00781EBD">
      <w:rPr>
        <w:noProof/>
        <w:color w:val="6B6860"/>
        <w:sz w:val="16"/>
        <w:szCs w:val="16"/>
      </w:rPr>
      <w:t>1</w:t>
    </w:r>
    <w:r>
      <w:rPr>
        <w:color w:val="6B686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33271" w14:textId="77777777" w:rsidR="0086497C" w:rsidRDefault="0086497C">
      <w:r>
        <w:separator/>
      </w:r>
    </w:p>
  </w:footnote>
  <w:footnote w:type="continuationSeparator" w:id="0">
    <w:p w14:paraId="1F77100E" w14:textId="77777777" w:rsidR="0086497C" w:rsidRDefault="0086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E7B58"/>
    <w:multiLevelType w:val="hybridMultilevel"/>
    <w:tmpl w:val="6FA6A664"/>
    <w:lvl w:ilvl="0" w:tplc="D076F6D8">
      <w:start w:val="1"/>
      <w:numFmt w:val="decimal"/>
      <w:lvlText w:val="%1."/>
      <w:lvlJc w:val="left"/>
      <w:pPr>
        <w:ind w:left="540" w:hanging="280"/>
      </w:pPr>
    </w:lvl>
    <w:lvl w:ilvl="1" w:tplc="502C42AA">
      <w:numFmt w:val="decimal"/>
      <w:lvlText w:val=""/>
      <w:lvlJc w:val="left"/>
    </w:lvl>
    <w:lvl w:ilvl="2" w:tplc="D5FE2670">
      <w:numFmt w:val="decimal"/>
      <w:lvlText w:val=""/>
      <w:lvlJc w:val="left"/>
    </w:lvl>
    <w:lvl w:ilvl="3" w:tplc="04F0EEEE">
      <w:numFmt w:val="decimal"/>
      <w:lvlText w:val=""/>
      <w:lvlJc w:val="left"/>
    </w:lvl>
    <w:lvl w:ilvl="4" w:tplc="E76259E8">
      <w:numFmt w:val="decimal"/>
      <w:lvlText w:val=""/>
      <w:lvlJc w:val="left"/>
    </w:lvl>
    <w:lvl w:ilvl="5" w:tplc="B6428DEE">
      <w:numFmt w:val="decimal"/>
      <w:lvlText w:val=""/>
      <w:lvlJc w:val="left"/>
    </w:lvl>
    <w:lvl w:ilvl="6" w:tplc="68364FB8">
      <w:numFmt w:val="decimal"/>
      <w:lvlText w:val=""/>
      <w:lvlJc w:val="left"/>
    </w:lvl>
    <w:lvl w:ilvl="7" w:tplc="B2A86A8E">
      <w:numFmt w:val="decimal"/>
      <w:lvlText w:val=""/>
      <w:lvlJc w:val="left"/>
    </w:lvl>
    <w:lvl w:ilvl="8" w:tplc="554EF636">
      <w:numFmt w:val="decimal"/>
      <w:lvlText w:val=""/>
      <w:lvlJc w:val="left"/>
    </w:lvl>
  </w:abstractNum>
  <w:abstractNum w:abstractNumId="1" w15:restartNumberingAfterBreak="0">
    <w:nsid w:val="5A61032D"/>
    <w:multiLevelType w:val="hybridMultilevel"/>
    <w:tmpl w:val="8C0637F4"/>
    <w:lvl w:ilvl="0" w:tplc="F98E6568">
      <w:start w:val="1"/>
      <w:numFmt w:val="bullet"/>
      <w:lvlText w:val="●"/>
      <w:lvlJc w:val="left"/>
      <w:pPr>
        <w:ind w:left="720" w:hanging="360"/>
      </w:pPr>
    </w:lvl>
    <w:lvl w:ilvl="1" w:tplc="D4D8DB3E">
      <w:start w:val="1"/>
      <w:numFmt w:val="bullet"/>
      <w:lvlText w:val="○"/>
      <w:lvlJc w:val="left"/>
      <w:pPr>
        <w:ind w:left="1440" w:hanging="360"/>
      </w:pPr>
    </w:lvl>
    <w:lvl w:ilvl="2" w:tplc="799E4876">
      <w:start w:val="1"/>
      <w:numFmt w:val="bullet"/>
      <w:lvlText w:val="■"/>
      <w:lvlJc w:val="left"/>
      <w:pPr>
        <w:ind w:left="2160" w:hanging="360"/>
      </w:pPr>
    </w:lvl>
    <w:lvl w:ilvl="3" w:tplc="348EAD20">
      <w:start w:val="1"/>
      <w:numFmt w:val="bullet"/>
      <w:lvlText w:val="●"/>
      <w:lvlJc w:val="left"/>
      <w:pPr>
        <w:ind w:left="2880" w:hanging="360"/>
      </w:pPr>
    </w:lvl>
    <w:lvl w:ilvl="4" w:tplc="47DA0824">
      <w:start w:val="1"/>
      <w:numFmt w:val="bullet"/>
      <w:lvlText w:val="○"/>
      <w:lvlJc w:val="left"/>
      <w:pPr>
        <w:ind w:left="3600" w:hanging="360"/>
      </w:pPr>
    </w:lvl>
    <w:lvl w:ilvl="5" w:tplc="BA587094">
      <w:start w:val="1"/>
      <w:numFmt w:val="bullet"/>
      <w:lvlText w:val="■"/>
      <w:lvlJc w:val="left"/>
      <w:pPr>
        <w:ind w:left="4320" w:hanging="360"/>
      </w:pPr>
    </w:lvl>
    <w:lvl w:ilvl="6" w:tplc="759AFFB4">
      <w:start w:val="1"/>
      <w:numFmt w:val="bullet"/>
      <w:lvlText w:val="●"/>
      <w:lvlJc w:val="left"/>
      <w:pPr>
        <w:ind w:left="5040" w:hanging="360"/>
      </w:pPr>
    </w:lvl>
    <w:lvl w:ilvl="7" w:tplc="4D60E96E">
      <w:start w:val="1"/>
      <w:numFmt w:val="bullet"/>
      <w:lvlText w:val="●"/>
      <w:lvlJc w:val="left"/>
      <w:pPr>
        <w:ind w:left="5760" w:hanging="360"/>
      </w:pPr>
    </w:lvl>
    <w:lvl w:ilvl="8" w:tplc="D1180E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D6424C"/>
    <w:multiLevelType w:val="hybridMultilevel"/>
    <w:tmpl w:val="1C7E5E48"/>
    <w:lvl w:ilvl="0" w:tplc="6324E8CA">
      <w:start w:val="1"/>
      <w:numFmt w:val="bullet"/>
      <w:lvlText w:val="•"/>
      <w:lvlJc w:val="left"/>
      <w:pPr>
        <w:ind w:left="540" w:hanging="280"/>
      </w:pPr>
    </w:lvl>
    <w:lvl w:ilvl="1" w:tplc="2BAA6C68">
      <w:numFmt w:val="decimal"/>
      <w:lvlText w:val=""/>
      <w:lvlJc w:val="left"/>
    </w:lvl>
    <w:lvl w:ilvl="2" w:tplc="4EEE9A50">
      <w:numFmt w:val="decimal"/>
      <w:lvlText w:val=""/>
      <w:lvlJc w:val="left"/>
    </w:lvl>
    <w:lvl w:ilvl="3" w:tplc="61F675D2">
      <w:numFmt w:val="decimal"/>
      <w:lvlText w:val=""/>
      <w:lvlJc w:val="left"/>
    </w:lvl>
    <w:lvl w:ilvl="4" w:tplc="9EC8C494">
      <w:numFmt w:val="decimal"/>
      <w:lvlText w:val=""/>
      <w:lvlJc w:val="left"/>
    </w:lvl>
    <w:lvl w:ilvl="5" w:tplc="04DE1C48">
      <w:numFmt w:val="decimal"/>
      <w:lvlText w:val=""/>
      <w:lvlJc w:val="left"/>
    </w:lvl>
    <w:lvl w:ilvl="6" w:tplc="492C9530">
      <w:numFmt w:val="decimal"/>
      <w:lvlText w:val=""/>
      <w:lvlJc w:val="left"/>
    </w:lvl>
    <w:lvl w:ilvl="7" w:tplc="D0087DF8">
      <w:numFmt w:val="decimal"/>
      <w:lvlText w:val=""/>
      <w:lvlJc w:val="left"/>
    </w:lvl>
    <w:lvl w:ilvl="8" w:tplc="F2843BFA">
      <w:numFmt w:val="decimal"/>
      <w:lvlText w:val=""/>
      <w:lvlJc w:val="left"/>
    </w:lvl>
  </w:abstractNum>
  <w:num w:numId="1" w16cid:durableId="2061006878">
    <w:abstractNumId w:val="1"/>
    <w:lvlOverride w:ilvl="0">
      <w:startOverride w:val="1"/>
    </w:lvlOverride>
  </w:num>
  <w:num w:numId="2" w16cid:durableId="964888090">
    <w:abstractNumId w:val="2"/>
    <w:lvlOverride w:ilvl="0">
      <w:startOverride w:val="1"/>
    </w:lvlOverride>
  </w:num>
  <w:num w:numId="3" w16cid:durableId="640498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84D"/>
    <w:rsid w:val="005C03E9"/>
    <w:rsid w:val="00781EBD"/>
    <w:rsid w:val="0086497C"/>
    <w:rsid w:val="00E0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DD0F6"/>
  <w15:docId w15:val="{CFEBBD74-9128-48F7-9AEC-FB8CB61C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4638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1A1A1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8A1E3C63-1464-471B-A68F-B43736319D28}"/>
</file>

<file path=customXml/itemProps2.xml><?xml version="1.0" encoding="utf-8"?>
<ds:datastoreItem xmlns:ds="http://schemas.openxmlformats.org/officeDocument/2006/customXml" ds:itemID="{1BE2D8E9-9ECE-4B71-9891-25493822D9C3}"/>
</file>

<file path=customXml/itemProps3.xml><?xml version="1.0" encoding="utf-8"?>
<ds:datastoreItem xmlns:ds="http://schemas.openxmlformats.org/officeDocument/2006/customXml" ds:itemID="{5ED98D3D-FB5F-4EAC-AEE4-CA6CFBE54D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1191</Words>
  <Characters>6790</Characters>
  <Application>Microsoft Office Word</Application>
  <DocSecurity>0</DocSecurity>
  <Lines>56</Lines>
  <Paragraphs>15</Paragraphs>
  <ScaleCrop>false</ScaleCrop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Rasmus Rasmusson</cp:lastModifiedBy>
  <cp:revision>2</cp:revision>
  <dcterms:created xsi:type="dcterms:W3CDTF">2026-06-02T14:48:00Z</dcterms:created>
  <dcterms:modified xsi:type="dcterms:W3CDTF">2026-06-02T14:48:00Z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