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BA5" w:rsidRDefault="00456A9E">
      <w:pPr>
        <w:rPr>
          <w:rFonts w:ascii="Times New Roman" w:hAnsi="Times New Roman" w:cs="Times New Roman"/>
        </w:rPr>
      </w:pPr>
      <w:r>
        <w:rPr>
          <w:rFonts w:ascii="Times New Roman" w:hAnsi="Times New Roman" w:cs="Times New Roman"/>
        </w:rPr>
        <w:t>Ch. 6: 1, 2, 13, 14, 19, 23, 25, 31</w:t>
      </w:r>
    </w:p>
    <w:p w:rsidR="001E2954" w:rsidRDefault="001E2954">
      <w:pPr>
        <w:rPr>
          <w:rFonts w:ascii="Times New Roman" w:hAnsi="Times New Roman" w:cs="Times New Roman"/>
        </w:rPr>
      </w:pPr>
    </w:p>
    <w:p w:rsidR="001E2954" w:rsidRDefault="001E2954" w:rsidP="001E2954">
      <w:pPr>
        <w:pStyle w:val="ListParagraph"/>
        <w:numPr>
          <w:ilvl w:val="0"/>
          <w:numId w:val="1"/>
        </w:numPr>
      </w:pPr>
      <w:r>
        <w:t>What is the lowest rate of return (in percent) that is possible?</w:t>
      </w:r>
    </w:p>
    <w:p w:rsidR="001E2954" w:rsidRDefault="001E2954" w:rsidP="001E2954">
      <w:pPr>
        <w:pStyle w:val="ListParagraph"/>
        <w:numPr>
          <w:ilvl w:val="0"/>
          <w:numId w:val="1"/>
        </w:numPr>
      </w:pPr>
      <w:r>
        <w:t>What is the nominal rate of return per year on an investment that doubles in value every 6 months?</w:t>
      </w:r>
    </w:p>
    <w:p w:rsidR="001E2954" w:rsidRDefault="00B570E0" w:rsidP="00B570E0">
      <w:pPr>
        <w:pStyle w:val="ListParagraph"/>
        <w:numPr>
          <w:ilvl w:val="0"/>
          <w:numId w:val="2"/>
        </w:numPr>
      </w:pPr>
      <w:r>
        <w:t>Rubber sidewalk: $60,000 – 9 year lifetime</w:t>
      </w:r>
    </w:p>
    <w:p w:rsidR="00B570E0" w:rsidRDefault="00B570E0" w:rsidP="00B570E0">
      <w:pPr>
        <w:pStyle w:val="ListParagraph"/>
      </w:pPr>
      <w:r>
        <w:t>Concrete Sidewalk: $28,000 – 3 year lifetime</w:t>
      </w:r>
    </w:p>
    <w:p w:rsidR="00BD23FE" w:rsidRDefault="00B570E0" w:rsidP="00BD23FE">
      <w:pPr>
        <w:pStyle w:val="ListParagraph"/>
      </w:pPr>
      <w:r>
        <w:t>Rate of return = ?</w:t>
      </w:r>
    </w:p>
    <w:p w:rsidR="00105955" w:rsidRPr="00BD23FE" w:rsidRDefault="00105955" w:rsidP="00BD23FE">
      <w:pPr>
        <w:pStyle w:val="ListParagraph"/>
      </w:pPr>
      <w:r w:rsidRPr="00BD23FE">
        <w:rPr>
          <w:rFonts w:cstheme="minorHAnsi"/>
        </w:rPr>
        <w:t>0 = -PW</w:t>
      </w:r>
      <w:r w:rsidR="00A13195" w:rsidRPr="00BD23FE">
        <w:rPr>
          <w:rFonts w:cstheme="minorHAnsi"/>
        </w:rPr>
        <w:t>(r) + PW(c)</w:t>
      </w:r>
    </w:p>
    <w:p w:rsidR="00BD23FE" w:rsidRDefault="00BD23FE" w:rsidP="00BD23FE">
      <w:pPr>
        <w:pStyle w:val="ListParagraph"/>
        <w:numPr>
          <w:ilvl w:val="0"/>
          <w:numId w:val="2"/>
        </w:numPr>
        <w:rPr>
          <w:rFonts w:cstheme="minorHAnsi"/>
        </w:rPr>
      </w:pPr>
      <w:r w:rsidRPr="00BD23FE">
        <w:rPr>
          <w:rFonts w:cstheme="minorHAnsi"/>
        </w:rPr>
        <w:t xml:space="preserve">Very light jets (VLJs) are smaller aircraft that may revolutionize the way people travel by plane. They cost between $ 1.5 and $3 million, seat 5 to 7 people, and can fl y over 1000 miles at speeds approaching 460 mph. Eclipse Aviation was founded in 1998 and its sale business is making VLJs. The company invested $500 million (at time 0) and began taking orders 2 years later. If the company accepted orders for 2500 planes and received </w:t>
      </w:r>
      <w:r w:rsidRPr="00BD23FE">
        <w:rPr>
          <w:rFonts w:cstheme="minorHAnsi"/>
          <w:i/>
          <w:iCs/>
        </w:rPr>
        <w:t xml:space="preserve">10% </w:t>
      </w:r>
      <w:r w:rsidRPr="00BD23FE">
        <w:rPr>
          <w:rFonts w:cstheme="minorHAnsi"/>
        </w:rPr>
        <w:t>down (in year 2) on planes having an average cost</w:t>
      </w:r>
      <w:r>
        <w:rPr>
          <w:rFonts w:cstheme="minorHAnsi"/>
        </w:rPr>
        <w:t xml:space="preserve"> </w:t>
      </w:r>
      <w:r w:rsidRPr="00BD23FE">
        <w:rPr>
          <w:rFonts w:cstheme="minorHAnsi"/>
        </w:rPr>
        <w:t>of $1.8 million, what rate of return will the company make over a 10-year planning period?</w:t>
      </w:r>
    </w:p>
    <w:p w:rsidR="00B65210" w:rsidRDefault="00B65210" w:rsidP="00B65210">
      <w:pPr>
        <w:pStyle w:val="ListParagraph"/>
        <w:numPr>
          <w:ilvl w:val="0"/>
          <w:numId w:val="4"/>
        </w:numPr>
        <w:autoSpaceDE w:val="0"/>
        <w:autoSpaceDN w:val="0"/>
        <w:adjustRightInd w:val="0"/>
        <w:spacing w:after="0" w:line="240" w:lineRule="auto"/>
        <w:rPr>
          <w:rFonts w:cstheme="minorHAnsi"/>
        </w:rPr>
      </w:pPr>
      <w:r w:rsidRPr="00B65210">
        <w:rPr>
          <w:rFonts w:cstheme="minorHAnsi"/>
        </w:rPr>
        <w:t>In selecting between two mutually exclusive alternatives, under what circumstance will the one with</w:t>
      </w:r>
      <w:r>
        <w:rPr>
          <w:rFonts w:cstheme="minorHAnsi"/>
        </w:rPr>
        <w:t xml:space="preserve"> </w:t>
      </w:r>
      <w:r w:rsidRPr="00B65210">
        <w:rPr>
          <w:rFonts w:cstheme="minorHAnsi"/>
        </w:rPr>
        <w:t xml:space="preserve">the higher rate of return </w:t>
      </w:r>
      <w:r w:rsidRPr="00B65210">
        <w:rPr>
          <w:rFonts w:cstheme="minorHAnsi"/>
          <w:i/>
          <w:iCs/>
        </w:rPr>
        <w:t xml:space="preserve">1101 </w:t>
      </w:r>
      <w:r w:rsidRPr="00B65210">
        <w:rPr>
          <w:rFonts w:cstheme="minorHAnsi"/>
        </w:rPr>
        <w:t>necessarily represent the better investment?</w:t>
      </w:r>
    </w:p>
    <w:p w:rsidR="00B65210" w:rsidRDefault="00B65210" w:rsidP="00B65210">
      <w:pPr>
        <w:pStyle w:val="ListParagraph"/>
        <w:numPr>
          <w:ilvl w:val="0"/>
          <w:numId w:val="6"/>
        </w:numPr>
        <w:autoSpaceDE w:val="0"/>
        <w:autoSpaceDN w:val="0"/>
        <w:adjustRightInd w:val="0"/>
        <w:spacing w:after="0" w:line="240" w:lineRule="auto"/>
        <w:rPr>
          <w:rFonts w:cstheme="minorHAnsi"/>
        </w:rPr>
      </w:pPr>
      <w:r w:rsidRPr="00B65210">
        <w:rPr>
          <w:rFonts w:cstheme="minorHAnsi"/>
        </w:rPr>
        <w:t xml:space="preserve">For the cash flows shown, what is the incremental </w:t>
      </w:r>
      <w:r w:rsidR="00776A7B">
        <w:rPr>
          <w:rFonts w:cstheme="minorHAnsi"/>
        </w:rPr>
        <w:t>cash fl</w:t>
      </w:r>
      <w:r w:rsidRPr="00B65210">
        <w:rPr>
          <w:rFonts w:cstheme="minorHAnsi"/>
        </w:rPr>
        <w:t xml:space="preserve">ow between machines B and A </w:t>
      </w:r>
      <w:r w:rsidRPr="00B65210">
        <w:rPr>
          <w:rFonts w:cstheme="minorHAnsi"/>
          <w:i/>
          <w:iCs/>
        </w:rPr>
        <w:t xml:space="preserve">'(0) </w:t>
      </w:r>
      <w:r w:rsidRPr="00B65210">
        <w:rPr>
          <w:rFonts w:cstheme="minorHAnsi"/>
        </w:rPr>
        <w:t xml:space="preserve">in year 0, </w:t>
      </w:r>
      <w:r w:rsidRPr="00B65210">
        <w:rPr>
          <w:rFonts w:cstheme="minorHAnsi"/>
          <w:i/>
          <w:iCs/>
        </w:rPr>
        <w:t xml:space="preserve">(b) </w:t>
      </w:r>
      <w:r w:rsidRPr="00B65210">
        <w:rPr>
          <w:rFonts w:cstheme="minorHAnsi"/>
        </w:rPr>
        <w:t xml:space="preserve">in year 3, and </w:t>
      </w:r>
      <w:r w:rsidRPr="00B65210">
        <w:rPr>
          <w:rFonts w:cstheme="minorHAnsi"/>
          <w:i/>
          <w:iCs/>
        </w:rPr>
        <w:t xml:space="preserve">(c) </w:t>
      </w:r>
      <w:r w:rsidRPr="00B65210">
        <w:rPr>
          <w:rFonts w:cstheme="minorHAnsi"/>
        </w:rPr>
        <w:t>in year 6?</w:t>
      </w:r>
    </w:p>
    <w:tbl>
      <w:tblPr>
        <w:tblStyle w:val="TableGrid"/>
        <w:tblW w:w="0" w:type="auto"/>
        <w:tblInd w:w="720" w:type="dxa"/>
        <w:tblLook w:val="04A0"/>
      </w:tblPr>
      <w:tblGrid>
        <w:gridCol w:w="2942"/>
        <w:gridCol w:w="2957"/>
        <w:gridCol w:w="2957"/>
      </w:tblGrid>
      <w:tr w:rsidR="00776A7B" w:rsidTr="00776A7B">
        <w:tc>
          <w:tcPr>
            <w:tcW w:w="2942" w:type="dxa"/>
          </w:tcPr>
          <w:p w:rsidR="00776A7B" w:rsidRDefault="00776A7B" w:rsidP="00776A7B">
            <w:pPr>
              <w:pStyle w:val="ListParagraph"/>
              <w:autoSpaceDE w:val="0"/>
              <w:autoSpaceDN w:val="0"/>
              <w:adjustRightInd w:val="0"/>
              <w:ind w:left="0"/>
              <w:rPr>
                <w:rFonts w:cstheme="minorHAnsi"/>
              </w:rPr>
            </w:pPr>
          </w:p>
        </w:tc>
        <w:tc>
          <w:tcPr>
            <w:tcW w:w="2957" w:type="dxa"/>
          </w:tcPr>
          <w:p w:rsidR="00776A7B" w:rsidRDefault="00776A7B" w:rsidP="00776A7B">
            <w:pPr>
              <w:pStyle w:val="ListParagraph"/>
              <w:autoSpaceDE w:val="0"/>
              <w:autoSpaceDN w:val="0"/>
              <w:adjustRightInd w:val="0"/>
              <w:ind w:left="0"/>
              <w:rPr>
                <w:rFonts w:cstheme="minorHAnsi"/>
              </w:rPr>
            </w:pPr>
            <w:r>
              <w:rPr>
                <w:rFonts w:cstheme="minorHAnsi"/>
              </w:rPr>
              <w:t>Alternative X</w:t>
            </w:r>
          </w:p>
        </w:tc>
        <w:tc>
          <w:tcPr>
            <w:tcW w:w="2957" w:type="dxa"/>
          </w:tcPr>
          <w:p w:rsidR="00776A7B" w:rsidRDefault="00776A7B" w:rsidP="00776A7B">
            <w:pPr>
              <w:pStyle w:val="ListParagraph"/>
              <w:autoSpaceDE w:val="0"/>
              <w:autoSpaceDN w:val="0"/>
              <w:adjustRightInd w:val="0"/>
              <w:ind w:left="0"/>
              <w:rPr>
                <w:rFonts w:cstheme="minorHAnsi"/>
              </w:rPr>
            </w:pPr>
            <w:r>
              <w:rPr>
                <w:rFonts w:cstheme="minorHAnsi"/>
              </w:rPr>
              <w:t>Alternative Y</w:t>
            </w:r>
          </w:p>
        </w:tc>
      </w:tr>
      <w:tr w:rsidR="00776A7B" w:rsidTr="00776A7B">
        <w:tc>
          <w:tcPr>
            <w:tcW w:w="2942" w:type="dxa"/>
          </w:tcPr>
          <w:p w:rsidR="00776A7B" w:rsidRDefault="00776A7B" w:rsidP="00776A7B">
            <w:pPr>
              <w:pStyle w:val="ListParagraph"/>
              <w:autoSpaceDE w:val="0"/>
              <w:autoSpaceDN w:val="0"/>
              <w:adjustRightInd w:val="0"/>
              <w:ind w:left="0"/>
              <w:rPr>
                <w:rFonts w:cstheme="minorHAnsi"/>
              </w:rPr>
            </w:pPr>
            <w:r>
              <w:rPr>
                <w:rFonts w:cstheme="minorHAnsi"/>
              </w:rPr>
              <w:t>First cost, $</w:t>
            </w:r>
          </w:p>
        </w:tc>
        <w:tc>
          <w:tcPr>
            <w:tcW w:w="2957" w:type="dxa"/>
          </w:tcPr>
          <w:p w:rsidR="00776A7B" w:rsidRDefault="00776A7B" w:rsidP="00776A7B">
            <w:pPr>
              <w:pStyle w:val="ListParagraph"/>
              <w:autoSpaceDE w:val="0"/>
              <w:autoSpaceDN w:val="0"/>
              <w:adjustRightInd w:val="0"/>
              <w:ind w:left="0"/>
              <w:rPr>
                <w:rFonts w:cstheme="minorHAnsi"/>
              </w:rPr>
            </w:pPr>
            <w:r>
              <w:rPr>
                <w:rFonts w:cstheme="minorHAnsi"/>
              </w:rPr>
              <w:t>-15000</w:t>
            </w:r>
          </w:p>
        </w:tc>
        <w:tc>
          <w:tcPr>
            <w:tcW w:w="2957" w:type="dxa"/>
          </w:tcPr>
          <w:p w:rsidR="00776A7B" w:rsidRDefault="00776A7B" w:rsidP="00776A7B">
            <w:pPr>
              <w:pStyle w:val="ListParagraph"/>
              <w:autoSpaceDE w:val="0"/>
              <w:autoSpaceDN w:val="0"/>
              <w:adjustRightInd w:val="0"/>
              <w:ind w:left="0"/>
              <w:rPr>
                <w:rFonts w:cstheme="minorHAnsi"/>
              </w:rPr>
            </w:pPr>
            <w:r>
              <w:rPr>
                <w:rFonts w:cstheme="minorHAnsi"/>
              </w:rPr>
              <w:t>-25000</w:t>
            </w:r>
          </w:p>
        </w:tc>
      </w:tr>
      <w:tr w:rsidR="00776A7B" w:rsidTr="00776A7B">
        <w:tc>
          <w:tcPr>
            <w:tcW w:w="2942" w:type="dxa"/>
          </w:tcPr>
          <w:p w:rsidR="00776A7B" w:rsidRDefault="00776A7B" w:rsidP="00776A7B">
            <w:pPr>
              <w:pStyle w:val="ListParagraph"/>
              <w:autoSpaceDE w:val="0"/>
              <w:autoSpaceDN w:val="0"/>
              <w:adjustRightInd w:val="0"/>
              <w:ind w:left="0"/>
              <w:rPr>
                <w:rFonts w:cstheme="minorHAnsi"/>
              </w:rPr>
            </w:pPr>
            <w:r>
              <w:rPr>
                <w:rFonts w:cstheme="minorHAnsi"/>
              </w:rPr>
              <w:t>Annual operating cost</w:t>
            </w:r>
          </w:p>
        </w:tc>
        <w:tc>
          <w:tcPr>
            <w:tcW w:w="2957" w:type="dxa"/>
          </w:tcPr>
          <w:p w:rsidR="00776A7B" w:rsidRDefault="00776A7B" w:rsidP="00776A7B">
            <w:pPr>
              <w:pStyle w:val="ListParagraph"/>
              <w:autoSpaceDE w:val="0"/>
              <w:autoSpaceDN w:val="0"/>
              <w:adjustRightInd w:val="0"/>
              <w:ind w:left="0"/>
              <w:rPr>
                <w:rFonts w:cstheme="minorHAnsi"/>
              </w:rPr>
            </w:pPr>
            <w:r>
              <w:rPr>
                <w:rFonts w:cstheme="minorHAnsi"/>
              </w:rPr>
              <w:t>-1600</w:t>
            </w:r>
          </w:p>
        </w:tc>
        <w:tc>
          <w:tcPr>
            <w:tcW w:w="2957" w:type="dxa"/>
          </w:tcPr>
          <w:p w:rsidR="00776A7B" w:rsidRDefault="00776A7B" w:rsidP="00776A7B">
            <w:pPr>
              <w:pStyle w:val="ListParagraph"/>
              <w:autoSpaceDE w:val="0"/>
              <w:autoSpaceDN w:val="0"/>
              <w:adjustRightInd w:val="0"/>
              <w:ind w:left="0"/>
              <w:rPr>
                <w:rFonts w:cstheme="minorHAnsi"/>
              </w:rPr>
            </w:pPr>
            <w:r>
              <w:rPr>
                <w:rFonts w:cstheme="minorHAnsi"/>
              </w:rPr>
              <w:t>-400</w:t>
            </w:r>
          </w:p>
        </w:tc>
      </w:tr>
      <w:tr w:rsidR="00776A7B" w:rsidTr="00776A7B">
        <w:tc>
          <w:tcPr>
            <w:tcW w:w="2942" w:type="dxa"/>
          </w:tcPr>
          <w:p w:rsidR="00776A7B" w:rsidRDefault="00776A7B" w:rsidP="00776A7B">
            <w:pPr>
              <w:pStyle w:val="ListParagraph"/>
              <w:autoSpaceDE w:val="0"/>
              <w:autoSpaceDN w:val="0"/>
              <w:adjustRightInd w:val="0"/>
              <w:ind w:left="0"/>
              <w:rPr>
                <w:rFonts w:cstheme="minorHAnsi"/>
              </w:rPr>
            </w:pPr>
            <w:r>
              <w:rPr>
                <w:rFonts w:cstheme="minorHAnsi"/>
              </w:rPr>
              <w:t>Salvage value, $</w:t>
            </w:r>
          </w:p>
        </w:tc>
        <w:tc>
          <w:tcPr>
            <w:tcW w:w="2957" w:type="dxa"/>
          </w:tcPr>
          <w:p w:rsidR="00776A7B" w:rsidRDefault="00776A7B" w:rsidP="00776A7B">
            <w:pPr>
              <w:pStyle w:val="ListParagraph"/>
              <w:autoSpaceDE w:val="0"/>
              <w:autoSpaceDN w:val="0"/>
              <w:adjustRightInd w:val="0"/>
              <w:ind w:left="0"/>
              <w:rPr>
                <w:rFonts w:cstheme="minorHAnsi"/>
              </w:rPr>
            </w:pPr>
            <w:r>
              <w:rPr>
                <w:rFonts w:cstheme="minorHAnsi"/>
              </w:rPr>
              <w:t>3000</w:t>
            </w:r>
          </w:p>
        </w:tc>
        <w:tc>
          <w:tcPr>
            <w:tcW w:w="2957" w:type="dxa"/>
          </w:tcPr>
          <w:p w:rsidR="00776A7B" w:rsidRDefault="00776A7B" w:rsidP="00776A7B">
            <w:pPr>
              <w:pStyle w:val="ListParagraph"/>
              <w:autoSpaceDE w:val="0"/>
              <w:autoSpaceDN w:val="0"/>
              <w:adjustRightInd w:val="0"/>
              <w:ind w:left="0"/>
              <w:rPr>
                <w:rFonts w:cstheme="minorHAnsi"/>
              </w:rPr>
            </w:pPr>
            <w:r>
              <w:rPr>
                <w:rFonts w:cstheme="minorHAnsi"/>
              </w:rPr>
              <w:t>6000</w:t>
            </w:r>
          </w:p>
        </w:tc>
      </w:tr>
      <w:tr w:rsidR="00776A7B" w:rsidTr="00776A7B">
        <w:tc>
          <w:tcPr>
            <w:tcW w:w="2942" w:type="dxa"/>
          </w:tcPr>
          <w:p w:rsidR="00776A7B" w:rsidRDefault="00776A7B" w:rsidP="00776A7B">
            <w:pPr>
              <w:pStyle w:val="ListParagraph"/>
              <w:autoSpaceDE w:val="0"/>
              <w:autoSpaceDN w:val="0"/>
              <w:adjustRightInd w:val="0"/>
              <w:ind w:left="0"/>
              <w:rPr>
                <w:rFonts w:cstheme="minorHAnsi"/>
              </w:rPr>
            </w:pPr>
            <w:r>
              <w:rPr>
                <w:rFonts w:cstheme="minorHAnsi"/>
              </w:rPr>
              <w:t>Life, years</w:t>
            </w:r>
          </w:p>
        </w:tc>
        <w:tc>
          <w:tcPr>
            <w:tcW w:w="2957" w:type="dxa"/>
          </w:tcPr>
          <w:p w:rsidR="00776A7B" w:rsidRDefault="00776A7B" w:rsidP="00776A7B">
            <w:pPr>
              <w:pStyle w:val="ListParagraph"/>
              <w:autoSpaceDE w:val="0"/>
              <w:autoSpaceDN w:val="0"/>
              <w:adjustRightInd w:val="0"/>
              <w:ind w:left="0"/>
              <w:rPr>
                <w:rFonts w:cstheme="minorHAnsi"/>
              </w:rPr>
            </w:pPr>
            <w:r>
              <w:rPr>
                <w:rFonts w:cstheme="minorHAnsi"/>
              </w:rPr>
              <w:t>5</w:t>
            </w:r>
          </w:p>
        </w:tc>
        <w:tc>
          <w:tcPr>
            <w:tcW w:w="2957" w:type="dxa"/>
          </w:tcPr>
          <w:p w:rsidR="00776A7B" w:rsidRDefault="00776A7B" w:rsidP="00776A7B">
            <w:pPr>
              <w:pStyle w:val="ListParagraph"/>
              <w:autoSpaceDE w:val="0"/>
              <w:autoSpaceDN w:val="0"/>
              <w:adjustRightInd w:val="0"/>
              <w:ind w:left="0"/>
              <w:rPr>
                <w:rFonts w:cstheme="minorHAnsi"/>
              </w:rPr>
            </w:pPr>
            <w:r>
              <w:rPr>
                <w:rFonts w:cstheme="minorHAnsi"/>
              </w:rPr>
              <w:t>5</w:t>
            </w:r>
          </w:p>
        </w:tc>
      </w:tr>
    </w:tbl>
    <w:p w:rsidR="00776A7B" w:rsidRDefault="00776A7B" w:rsidP="00776A7B">
      <w:pPr>
        <w:pStyle w:val="ListParagraph"/>
        <w:autoSpaceDE w:val="0"/>
        <w:autoSpaceDN w:val="0"/>
        <w:adjustRightInd w:val="0"/>
        <w:spacing w:after="0" w:line="240" w:lineRule="auto"/>
        <w:rPr>
          <w:rFonts w:cstheme="minorHAnsi"/>
        </w:rPr>
      </w:pPr>
    </w:p>
    <w:p w:rsidR="00B65210" w:rsidRDefault="00B65210" w:rsidP="00B65210">
      <w:pPr>
        <w:pStyle w:val="ListParagraph"/>
        <w:numPr>
          <w:ilvl w:val="0"/>
          <w:numId w:val="7"/>
        </w:numPr>
        <w:autoSpaceDE w:val="0"/>
        <w:autoSpaceDN w:val="0"/>
        <w:adjustRightInd w:val="0"/>
        <w:spacing w:after="0" w:line="240" w:lineRule="auto"/>
        <w:rPr>
          <w:rFonts w:cstheme="minorHAnsi"/>
        </w:rPr>
      </w:pPr>
      <w:r w:rsidRPr="00B65210">
        <w:rPr>
          <w:rFonts w:cstheme="minorHAnsi"/>
        </w:rPr>
        <w:t>For the alternatives shown, determine the sum</w:t>
      </w:r>
      <w:r>
        <w:rPr>
          <w:rFonts w:cstheme="minorHAnsi"/>
        </w:rPr>
        <w:t xml:space="preserve"> </w:t>
      </w:r>
      <w:r w:rsidRPr="00B65210">
        <w:rPr>
          <w:rFonts w:cstheme="minorHAnsi"/>
        </w:rPr>
        <w:t>of the incremental cash flows for Alternative B -</w:t>
      </w:r>
      <w:r>
        <w:rPr>
          <w:rFonts w:cstheme="minorHAnsi"/>
        </w:rPr>
        <w:t>Alternati</w:t>
      </w:r>
      <w:r w:rsidRPr="00B65210">
        <w:rPr>
          <w:rFonts w:cstheme="minorHAnsi"/>
        </w:rPr>
        <w:t>ve A.</w:t>
      </w:r>
    </w:p>
    <w:tbl>
      <w:tblPr>
        <w:tblStyle w:val="TableGrid"/>
        <w:tblW w:w="0" w:type="auto"/>
        <w:tblInd w:w="720" w:type="dxa"/>
        <w:tblLook w:val="04A0"/>
      </w:tblPr>
      <w:tblGrid>
        <w:gridCol w:w="2942"/>
        <w:gridCol w:w="2957"/>
        <w:gridCol w:w="2957"/>
      </w:tblGrid>
      <w:tr w:rsidR="00807E10" w:rsidTr="00807E10">
        <w:tc>
          <w:tcPr>
            <w:tcW w:w="3192" w:type="dxa"/>
          </w:tcPr>
          <w:p w:rsidR="00807E10" w:rsidRDefault="00807E10" w:rsidP="00807E10">
            <w:pPr>
              <w:pStyle w:val="ListParagraph"/>
              <w:autoSpaceDE w:val="0"/>
              <w:autoSpaceDN w:val="0"/>
              <w:adjustRightInd w:val="0"/>
              <w:ind w:left="0"/>
              <w:rPr>
                <w:rFonts w:cstheme="minorHAnsi"/>
              </w:rPr>
            </w:pP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Alternative A</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Alternative B</w:t>
            </w:r>
          </w:p>
        </w:tc>
      </w:tr>
      <w:tr w:rsidR="00807E10" w:rsidTr="00807E10">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First cost, $</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-50000</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-85000</w:t>
            </w:r>
          </w:p>
        </w:tc>
      </w:tr>
      <w:tr w:rsidR="00807E10" w:rsidTr="00807E10">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Annual operating cost</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-8600</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-2000</w:t>
            </w:r>
          </w:p>
        </w:tc>
      </w:tr>
      <w:tr w:rsidR="00807E10" w:rsidTr="00807E10">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Annual revenue</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22000</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45000</w:t>
            </w:r>
          </w:p>
        </w:tc>
      </w:tr>
      <w:tr w:rsidR="00807E10" w:rsidTr="00807E10">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Salvage Value</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3000</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8000</w:t>
            </w:r>
          </w:p>
        </w:tc>
      </w:tr>
      <w:tr w:rsidR="00807E10" w:rsidTr="00807E10">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Life, years</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3</w:t>
            </w:r>
          </w:p>
        </w:tc>
        <w:tc>
          <w:tcPr>
            <w:tcW w:w="3192" w:type="dxa"/>
          </w:tcPr>
          <w:p w:rsidR="00807E10" w:rsidRDefault="00807E10" w:rsidP="00807E10">
            <w:pPr>
              <w:pStyle w:val="ListParagraph"/>
              <w:autoSpaceDE w:val="0"/>
              <w:autoSpaceDN w:val="0"/>
              <w:adjustRightInd w:val="0"/>
              <w:ind w:left="0"/>
              <w:rPr>
                <w:rFonts w:cstheme="minorHAnsi"/>
              </w:rPr>
            </w:pPr>
            <w:r>
              <w:rPr>
                <w:rFonts w:cstheme="minorHAnsi"/>
              </w:rPr>
              <w:t>6</w:t>
            </w:r>
          </w:p>
        </w:tc>
      </w:tr>
    </w:tbl>
    <w:p w:rsidR="00807E10" w:rsidRDefault="00807E10" w:rsidP="00807E10">
      <w:pPr>
        <w:pStyle w:val="ListParagraph"/>
        <w:autoSpaceDE w:val="0"/>
        <w:autoSpaceDN w:val="0"/>
        <w:adjustRightInd w:val="0"/>
        <w:spacing w:after="0" w:line="240" w:lineRule="auto"/>
        <w:rPr>
          <w:rFonts w:cstheme="minorHAnsi"/>
        </w:rPr>
      </w:pPr>
    </w:p>
    <w:p w:rsidR="00DD3250" w:rsidRPr="00B91A6A" w:rsidRDefault="00DD3250" w:rsidP="00DD3250">
      <w:pPr>
        <w:pStyle w:val="ListParagraph"/>
        <w:numPr>
          <w:ilvl w:val="0"/>
          <w:numId w:val="8"/>
        </w:numPr>
        <w:autoSpaceDE w:val="0"/>
        <w:autoSpaceDN w:val="0"/>
        <w:adjustRightInd w:val="0"/>
        <w:spacing w:after="0" w:line="240" w:lineRule="auto"/>
        <w:rPr>
          <w:rFonts w:cstheme="minorHAnsi"/>
        </w:rPr>
      </w:pPr>
      <w:r w:rsidRPr="00B91A6A">
        <w:rPr>
          <w:rFonts w:cstheme="minorHAnsi"/>
        </w:rPr>
        <w:t xml:space="preserve">An industrial engineer working for American Manufactured Products was asked to make a recommendation about which of four mutually exclusive </w:t>
      </w:r>
      <w:r w:rsidRPr="00B91A6A">
        <w:rPr>
          <w:rFonts w:cstheme="minorHAnsi"/>
          <w:i/>
          <w:iCs/>
        </w:rPr>
        <w:t xml:space="preserve">cost </w:t>
      </w:r>
      <w:r w:rsidRPr="00B91A6A">
        <w:rPr>
          <w:rFonts w:cstheme="minorHAnsi"/>
        </w:rPr>
        <w:t>alternatives should be selected for improving a certain materials handling operation. The alternatives (identified as A, B, C, and D) were ranked in order of increasing initial investment and then compared by incremental rate of return analysis. The rate of return on each increment of investment was less than the company's MARR of 32% per year. Which alternative should be selected?</w:t>
      </w:r>
    </w:p>
    <w:sectPr w:rsidR="00DD3250" w:rsidRPr="00B91A6A" w:rsidSect="00456A9E">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955" w:rsidRDefault="00105955" w:rsidP="00456A9E">
      <w:pPr>
        <w:spacing w:after="0" w:line="240" w:lineRule="auto"/>
      </w:pPr>
      <w:r>
        <w:separator/>
      </w:r>
    </w:p>
  </w:endnote>
  <w:endnote w:type="continuationSeparator" w:id="0">
    <w:p w:rsidR="00105955" w:rsidRDefault="00105955" w:rsidP="00456A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955" w:rsidRDefault="00105955" w:rsidP="00456A9E">
      <w:pPr>
        <w:spacing w:after="0" w:line="240" w:lineRule="auto"/>
      </w:pPr>
      <w:r>
        <w:separator/>
      </w:r>
    </w:p>
  </w:footnote>
  <w:footnote w:type="continuationSeparator" w:id="0">
    <w:p w:rsidR="00105955" w:rsidRDefault="00105955" w:rsidP="00456A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955" w:rsidRPr="00456A9E" w:rsidRDefault="00105955" w:rsidP="00456A9E">
    <w:pPr>
      <w:pStyle w:val="Header"/>
    </w:pPr>
    <w:r>
      <w:t>5/25/2011</w:t>
    </w:r>
    <w:r>
      <w:ptab w:relativeTo="margin" w:alignment="center" w:leader="none"/>
    </w:r>
    <w:r>
      <w:t>ENGR391 HW#9</w:t>
    </w:r>
    <w:r>
      <w:ptab w:relativeTo="margin" w:alignment="right" w:leader="none"/>
    </w:r>
    <w:r>
      <w:t>Torben Rasmussen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6508"/>
    <w:multiLevelType w:val="hybridMultilevel"/>
    <w:tmpl w:val="B036B1B6"/>
    <w:lvl w:ilvl="0" w:tplc="E9EEF1E2">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163A5"/>
    <w:multiLevelType w:val="hybridMultilevel"/>
    <w:tmpl w:val="E7509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20B65"/>
    <w:multiLevelType w:val="hybridMultilevel"/>
    <w:tmpl w:val="94DE8CAE"/>
    <w:lvl w:ilvl="0" w:tplc="CD5CD370">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AF4290"/>
    <w:multiLevelType w:val="hybridMultilevel"/>
    <w:tmpl w:val="AAD8C76E"/>
    <w:lvl w:ilvl="0" w:tplc="B1384C18">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192B80"/>
    <w:multiLevelType w:val="hybridMultilevel"/>
    <w:tmpl w:val="23C24974"/>
    <w:lvl w:ilvl="0" w:tplc="6DACE02C">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101F71"/>
    <w:multiLevelType w:val="hybridMultilevel"/>
    <w:tmpl w:val="EFF896EA"/>
    <w:lvl w:ilvl="0" w:tplc="D9E6C96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E32C38"/>
    <w:multiLevelType w:val="hybridMultilevel"/>
    <w:tmpl w:val="3D5A0B96"/>
    <w:lvl w:ilvl="0" w:tplc="B232CDC0">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7E3BC0"/>
    <w:multiLevelType w:val="hybridMultilevel"/>
    <w:tmpl w:val="D25E0A12"/>
    <w:lvl w:ilvl="0" w:tplc="B6D24D96">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7"/>
  </w:num>
  <w:num w:numId="6">
    <w:abstractNumId w:val="2"/>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56A9E"/>
    <w:rsid w:val="00105955"/>
    <w:rsid w:val="00120444"/>
    <w:rsid w:val="001E2954"/>
    <w:rsid w:val="001E68A1"/>
    <w:rsid w:val="00256F38"/>
    <w:rsid w:val="00317575"/>
    <w:rsid w:val="00415BBF"/>
    <w:rsid w:val="00456A9E"/>
    <w:rsid w:val="00490A55"/>
    <w:rsid w:val="00543AF5"/>
    <w:rsid w:val="00693BA5"/>
    <w:rsid w:val="006C64BD"/>
    <w:rsid w:val="006F7E4E"/>
    <w:rsid w:val="00776A7B"/>
    <w:rsid w:val="00793FB1"/>
    <w:rsid w:val="00807E10"/>
    <w:rsid w:val="008279A0"/>
    <w:rsid w:val="00A13195"/>
    <w:rsid w:val="00A27F00"/>
    <w:rsid w:val="00AF0C01"/>
    <w:rsid w:val="00B570E0"/>
    <w:rsid w:val="00B65210"/>
    <w:rsid w:val="00B91A6A"/>
    <w:rsid w:val="00BC3737"/>
    <w:rsid w:val="00BD23FE"/>
    <w:rsid w:val="00D92949"/>
    <w:rsid w:val="00DD3250"/>
    <w:rsid w:val="00FE1A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B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6A9E"/>
    <w:pPr>
      <w:tabs>
        <w:tab w:val="center" w:pos="4680"/>
        <w:tab w:val="right" w:pos="9360"/>
      </w:tabs>
    </w:pPr>
  </w:style>
  <w:style w:type="character" w:customStyle="1" w:styleId="HeaderChar">
    <w:name w:val="Header Char"/>
    <w:basedOn w:val="DefaultParagraphFont"/>
    <w:link w:val="Header"/>
    <w:uiPriority w:val="99"/>
    <w:semiHidden/>
    <w:rsid w:val="00456A9E"/>
  </w:style>
  <w:style w:type="paragraph" w:styleId="Footer">
    <w:name w:val="footer"/>
    <w:basedOn w:val="Normal"/>
    <w:link w:val="FooterChar"/>
    <w:uiPriority w:val="99"/>
    <w:semiHidden/>
    <w:unhideWhenUsed/>
    <w:rsid w:val="00456A9E"/>
    <w:pPr>
      <w:tabs>
        <w:tab w:val="center" w:pos="4680"/>
        <w:tab w:val="right" w:pos="9360"/>
      </w:tabs>
    </w:pPr>
  </w:style>
  <w:style w:type="character" w:customStyle="1" w:styleId="FooterChar">
    <w:name w:val="Footer Char"/>
    <w:basedOn w:val="DefaultParagraphFont"/>
    <w:link w:val="Footer"/>
    <w:uiPriority w:val="99"/>
    <w:semiHidden/>
    <w:rsid w:val="00456A9E"/>
  </w:style>
  <w:style w:type="paragraph" w:styleId="BalloonText">
    <w:name w:val="Balloon Text"/>
    <w:basedOn w:val="Normal"/>
    <w:link w:val="BalloonTextChar"/>
    <w:uiPriority w:val="99"/>
    <w:semiHidden/>
    <w:unhideWhenUsed/>
    <w:rsid w:val="00456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A9E"/>
    <w:rPr>
      <w:rFonts w:ascii="Tahoma" w:hAnsi="Tahoma" w:cs="Tahoma"/>
      <w:sz w:val="16"/>
      <w:szCs w:val="16"/>
    </w:rPr>
  </w:style>
  <w:style w:type="paragraph" w:styleId="ListParagraph">
    <w:name w:val="List Paragraph"/>
    <w:basedOn w:val="Normal"/>
    <w:uiPriority w:val="34"/>
    <w:qFormat/>
    <w:rsid w:val="001E2954"/>
    <w:pPr>
      <w:ind w:left="720"/>
      <w:contextualSpacing/>
    </w:pPr>
  </w:style>
  <w:style w:type="table" w:styleId="TableGrid">
    <w:name w:val="Table Grid"/>
    <w:basedOn w:val="TableNormal"/>
    <w:uiPriority w:val="59"/>
    <w:rsid w:val="00807E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2011-05-25T20:41:00Z</dcterms:created>
  <dcterms:modified xsi:type="dcterms:W3CDTF">2011-05-25T21:19:00Z</dcterms:modified>
</cp:coreProperties>
</file>